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DA5CA" w14:textId="4E3DC29B" w:rsidR="002354F3" w:rsidRPr="00481EE4" w:rsidRDefault="00784F51">
      <w:pPr>
        <w:rPr>
          <w:b/>
          <w:bCs/>
          <w:sz w:val="24"/>
          <w:szCs w:val="24"/>
        </w:rPr>
      </w:pPr>
      <w:r>
        <w:rPr>
          <w:b/>
          <w:bCs/>
          <w:sz w:val="24"/>
          <w:szCs w:val="24"/>
        </w:rPr>
        <w:t xml:space="preserve">Summary of Updates to </w:t>
      </w:r>
      <w:r w:rsidR="00481EE4" w:rsidRPr="00481EE4">
        <w:rPr>
          <w:b/>
          <w:bCs/>
          <w:sz w:val="24"/>
          <w:szCs w:val="24"/>
        </w:rPr>
        <w:t xml:space="preserve">MHLS Phased Reopening Plan Template Version </w:t>
      </w:r>
      <w:r w:rsidR="00E30979">
        <w:rPr>
          <w:b/>
          <w:bCs/>
          <w:sz w:val="24"/>
          <w:szCs w:val="24"/>
        </w:rPr>
        <w:t>3</w:t>
      </w:r>
    </w:p>
    <w:p w14:paraId="36BB5970" w14:textId="3F35D15C" w:rsidR="00481EE4" w:rsidRDefault="00481EE4">
      <w:r>
        <w:t xml:space="preserve">Additions to Version </w:t>
      </w:r>
      <w:r w:rsidR="00BC53B7">
        <w:t>3</w:t>
      </w:r>
      <w:r>
        <w:t xml:space="preserve"> of the </w:t>
      </w:r>
      <w:r w:rsidRPr="007F1703">
        <w:rPr>
          <w:i/>
          <w:iCs/>
        </w:rPr>
        <w:t>MHLS Phased Reopening Plan Template 2020.</w:t>
      </w:r>
      <w:r w:rsidR="00BC53B7">
        <w:rPr>
          <w:i/>
          <w:iCs/>
        </w:rPr>
        <w:t xml:space="preserve">10 </w:t>
      </w:r>
      <w:r w:rsidRPr="007F1703">
        <w:rPr>
          <w:i/>
          <w:iCs/>
        </w:rPr>
        <w:t>.</w:t>
      </w:r>
      <w:r w:rsidR="00BC53B7">
        <w:rPr>
          <w:i/>
          <w:iCs/>
        </w:rPr>
        <w:t>20</w:t>
      </w:r>
      <w:r>
        <w:t xml:space="preserve"> are </w:t>
      </w:r>
      <w:r w:rsidRPr="00481EE4">
        <w:rPr>
          <w:highlight w:val="yellow"/>
        </w:rPr>
        <w:t>highlighted in yellow</w:t>
      </w:r>
      <w:r w:rsidR="007F1703">
        <w:t xml:space="preserve"> </w:t>
      </w:r>
      <w:r w:rsidR="0004034E">
        <w:t xml:space="preserve">and </w:t>
      </w:r>
      <w:r w:rsidR="00F97ECD">
        <w:t>i</w:t>
      </w:r>
      <w:r w:rsidR="0004034E">
        <w:t xml:space="preserve">tems removed from the template are marked as </w:t>
      </w:r>
      <w:r w:rsidR="0004034E" w:rsidRPr="004A6A60">
        <w:rPr>
          <w:strike/>
        </w:rPr>
        <w:t>strikethrough</w:t>
      </w:r>
      <w:r w:rsidR="00F97ECD">
        <w:t xml:space="preserve"> i</w:t>
      </w:r>
      <w:r w:rsidR="007F1703">
        <w:t>n the latest version</w:t>
      </w:r>
      <w:r w:rsidR="00F97ECD">
        <w:t>,</w:t>
      </w:r>
      <w:r w:rsidR="007F1703">
        <w:t xml:space="preserve"> </w:t>
      </w:r>
      <w:r w:rsidR="007F1703" w:rsidRPr="007F1703">
        <w:rPr>
          <w:i/>
          <w:iCs/>
        </w:rPr>
        <w:t>MHLS Phased Reopening Plan Template 2020.</w:t>
      </w:r>
      <w:r w:rsidR="007652A9">
        <w:rPr>
          <w:i/>
          <w:iCs/>
        </w:rPr>
        <w:t>10.20</w:t>
      </w:r>
      <w:r>
        <w:t>. Additions and edits are based on newly released guidance from NYS Department of Health, Executive Orders from the Office of the Governor of NYS, the Centers for Disease Control and Prevention</w:t>
      </w:r>
      <w:r w:rsidR="00EC700E">
        <w:t>, and other sources</w:t>
      </w:r>
      <w:r>
        <w:t>.</w:t>
      </w:r>
      <w:r w:rsidR="00EC700E">
        <w:t xml:space="preserve"> </w:t>
      </w:r>
    </w:p>
    <w:p w14:paraId="072F0DDA" w14:textId="77777777" w:rsidR="008F2FCB" w:rsidRDefault="008F2FCB" w:rsidP="003D66BD">
      <w:pPr>
        <w:rPr>
          <w:b/>
          <w:bCs/>
          <w:sz w:val="32"/>
          <w:szCs w:val="32"/>
        </w:rPr>
      </w:pPr>
    </w:p>
    <w:p w14:paraId="2F6E15CF" w14:textId="77777777" w:rsidR="00481EE4" w:rsidRPr="007F1703" w:rsidRDefault="00481EE4" w:rsidP="003D66BD">
      <w:pPr>
        <w:rPr>
          <w:b/>
          <w:bCs/>
          <w:sz w:val="32"/>
          <w:szCs w:val="32"/>
        </w:rPr>
      </w:pPr>
      <w:r w:rsidRPr="007F1703">
        <w:rPr>
          <w:b/>
          <w:bCs/>
          <w:sz w:val="32"/>
          <w:szCs w:val="32"/>
        </w:rPr>
        <w:t>Updates</w:t>
      </w:r>
    </w:p>
    <w:p w14:paraId="0A37094E" w14:textId="1772043E" w:rsidR="003D66BD" w:rsidRPr="003D66BD" w:rsidRDefault="003D66BD" w:rsidP="003D66BD">
      <w:pPr>
        <w:rPr>
          <w:b/>
          <w:bCs/>
          <w:sz w:val="28"/>
          <w:szCs w:val="28"/>
        </w:rPr>
      </w:pPr>
      <w:r w:rsidRPr="003D66BD">
        <w:rPr>
          <w:b/>
          <w:bCs/>
          <w:sz w:val="28"/>
          <w:szCs w:val="28"/>
        </w:rPr>
        <w:t>Service Level A</w:t>
      </w:r>
    </w:p>
    <w:p w14:paraId="18F923A2" w14:textId="5D4DEF24" w:rsidR="00360617" w:rsidRDefault="008526C5" w:rsidP="00360617">
      <w:pPr>
        <w:pStyle w:val="ListParagraph"/>
        <w:numPr>
          <w:ilvl w:val="0"/>
          <w:numId w:val="9"/>
        </w:numPr>
        <w:jc w:val="both"/>
      </w:pPr>
      <w:r>
        <w:t>Intro</w:t>
      </w:r>
    </w:p>
    <w:p w14:paraId="00B9504F" w14:textId="0FC00C99" w:rsidR="00481EE4" w:rsidRDefault="00481EE4" w:rsidP="00360617">
      <w:pPr>
        <w:pStyle w:val="ListParagraph"/>
        <w:numPr>
          <w:ilvl w:val="2"/>
          <w:numId w:val="9"/>
        </w:numPr>
        <w:jc w:val="both"/>
        <w:rPr>
          <w:rFonts w:eastAsiaTheme="minorEastAsia"/>
        </w:rPr>
      </w:pPr>
      <w:r w:rsidRPr="00360617">
        <w:rPr>
          <w:rFonts w:eastAsiaTheme="minorEastAsia"/>
        </w:rPr>
        <w:t xml:space="preserve">Edit for </w:t>
      </w:r>
      <w:r w:rsidR="000F0F94">
        <w:rPr>
          <w:rFonts w:eastAsiaTheme="minorEastAsia"/>
        </w:rPr>
        <w:t>updates to transmission models</w:t>
      </w:r>
      <w:r w:rsidRPr="00360617">
        <w:rPr>
          <w:rFonts w:eastAsiaTheme="minorEastAsia"/>
        </w:rPr>
        <w:t xml:space="preserve">.  </w:t>
      </w:r>
    </w:p>
    <w:p w14:paraId="5AF18C3B" w14:textId="6C92E1A0" w:rsidR="00335A12" w:rsidRDefault="000F0F94" w:rsidP="00335A12">
      <w:pPr>
        <w:pStyle w:val="ListParagraph"/>
        <w:numPr>
          <w:ilvl w:val="3"/>
          <w:numId w:val="9"/>
        </w:numPr>
        <w:rPr>
          <w:rFonts w:eastAsiaTheme="minorEastAsia"/>
        </w:rPr>
      </w:pPr>
      <w:r>
        <w:t xml:space="preserve">Stay-at-home orders can mitigate the risk of spreading COVID-19 by limiting person-to-person contact through respiratory droplets, which is the main way the virus is spread, </w:t>
      </w:r>
      <w:r w:rsidRPr="000F0F94">
        <w:rPr>
          <w:highlight w:val="yellow"/>
        </w:rPr>
        <w:t>and airborne transmission, which is how the virus is sometimes spread</w:t>
      </w:r>
      <w:r>
        <w:t xml:space="preserve"> [</w:t>
      </w:r>
      <w:hyperlink r:id="rId10" w:history="1">
        <w:r w:rsidRPr="006E5A0C">
          <w:rPr>
            <w:rStyle w:val="Hyperlink"/>
          </w:rPr>
          <w:t>1</w:t>
        </w:r>
      </w:hyperlink>
      <w:r>
        <w:t xml:space="preserve">]. Under stay-at-home orders the library building will be closed to library patrons with the library supporting the community primarily through services online, by phone, and any other way patrons can interact with staff and access library resources without meeting in-person or entering the library building. </w:t>
      </w:r>
      <w:r w:rsidRPr="000F0F94">
        <w:rPr>
          <w:rFonts w:eastAsiaTheme="minorEastAsia"/>
        </w:rPr>
        <w:t>Traveling to the library to obtain materials to check out materials would violate stay-at-home orders and pose a risk to staff and public health.</w:t>
      </w:r>
    </w:p>
    <w:p w14:paraId="59E69CBA" w14:textId="77777777" w:rsidR="006B501D" w:rsidRDefault="006B501D" w:rsidP="006B501D">
      <w:pPr>
        <w:pStyle w:val="ListParagraph"/>
        <w:ind w:left="2070"/>
        <w:rPr>
          <w:rFonts w:eastAsiaTheme="minorEastAsia"/>
        </w:rPr>
      </w:pPr>
    </w:p>
    <w:p w14:paraId="5EFD4EE5" w14:textId="77777777" w:rsidR="006B501D" w:rsidRDefault="006B501D" w:rsidP="006B501D">
      <w:pPr>
        <w:pStyle w:val="ListParagraph"/>
        <w:numPr>
          <w:ilvl w:val="0"/>
          <w:numId w:val="9"/>
        </w:numPr>
        <w:jc w:val="both"/>
      </w:pPr>
      <w:r>
        <w:t>Patrons Returning Materials</w:t>
      </w:r>
    </w:p>
    <w:p w14:paraId="36C89962" w14:textId="476E1D77" w:rsidR="006B501D" w:rsidRDefault="006B501D" w:rsidP="006B501D">
      <w:pPr>
        <w:pStyle w:val="ListParagraph"/>
        <w:numPr>
          <w:ilvl w:val="2"/>
          <w:numId w:val="9"/>
        </w:numPr>
        <w:jc w:val="both"/>
      </w:pPr>
      <w:r>
        <w:t xml:space="preserve">Amended </w:t>
      </w:r>
      <w:r w:rsidR="00C83811">
        <w:t>items 2 and 5 to</w:t>
      </w:r>
      <w:r>
        <w:t xml:space="preserve"> reflect CDC’s update regarding surface transmission.</w:t>
      </w:r>
    </w:p>
    <w:p w14:paraId="79003A00" w14:textId="75299D1B" w:rsidR="006B501D" w:rsidRDefault="006B501D" w:rsidP="00C83811">
      <w:pPr>
        <w:pStyle w:val="ListParagraph"/>
        <w:spacing w:line="254" w:lineRule="auto"/>
        <w:ind w:left="2160"/>
        <w:rPr>
          <w:b/>
          <w:bCs/>
        </w:rPr>
      </w:pPr>
      <w:r>
        <w:rPr>
          <w:highlight w:val="yellow"/>
        </w:rPr>
        <w:t xml:space="preserve">2. </w:t>
      </w:r>
      <w:r w:rsidRPr="00CB0EF0">
        <w:rPr>
          <w:highlight w:val="yellow"/>
        </w:rPr>
        <w:t xml:space="preserve">The library will quarantine returned materials based on the latest guidance and findings from relevant authorities. </w:t>
      </w:r>
      <w:r w:rsidRPr="00BD29E2">
        <w:t>[</w:t>
      </w:r>
      <w:hyperlink r:id="rId11" w:history="1">
        <w:r w:rsidRPr="00BD29E2">
          <w:rPr>
            <w:rStyle w:val="Hyperlink"/>
          </w:rPr>
          <w:t>4</w:t>
        </w:r>
      </w:hyperlink>
      <w:r w:rsidRPr="00BD29E2">
        <w:t xml:space="preserve">] </w:t>
      </w:r>
      <w:r w:rsidRPr="0057456B">
        <w:rPr>
          <w:highlight w:val="yellow"/>
        </w:rPr>
        <w:t>[</w:t>
      </w:r>
      <w:hyperlink r:id="rId12" w:history="1">
        <w:r w:rsidRPr="0057456B">
          <w:rPr>
            <w:rStyle w:val="Hyperlink"/>
            <w:highlight w:val="yellow"/>
          </w:rPr>
          <w:t>37</w:t>
        </w:r>
      </w:hyperlink>
      <w:r w:rsidRPr="0057456B">
        <w:rPr>
          <w:highlight w:val="yellow"/>
        </w:rPr>
        <w:t>] [</w:t>
      </w:r>
      <w:hyperlink r:id="rId13" w:history="1">
        <w:r w:rsidRPr="0057456B">
          <w:rPr>
            <w:rStyle w:val="Hyperlink"/>
            <w:highlight w:val="yellow"/>
          </w:rPr>
          <w:t>41</w:t>
        </w:r>
      </w:hyperlink>
      <w:r w:rsidRPr="0057456B">
        <w:rPr>
          <w:highlight w:val="yellow"/>
        </w:rPr>
        <w:t>]</w:t>
      </w:r>
      <w:r>
        <w:t xml:space="preserve"> </w:t>
      </w:r>
    </w:p>
    <w:p w14:paraId="1C10DD0B" w14:textId="7B06EDCB" w:rsidR="00350431" w:rsidRPr="00C83811" w:rsidRDefault="002E1102" w:rsidP="00C83811">
      <w:pPr>
        <w:pStyle w:val="ListParagraph"/>
        <w:spacing w:line="254" w:lineRule="auto"/>
        <w:ind w:left="2160"/>
        <w:rPr>
          <w:b/>
          <w:bCs/>
        </w:rPr>
      </w:pPr>
      <w:r>
        <w:rPr>
          <w:highlight w:val="yellow"/>
        </w:rPr>
        <w:t>5</w:t>
      </w:r>
      <w:r w:rsidR="009B7CA7" w:rsidRPr="00226206">
        <w:rPr>
          <w:highlight w:val="yellow"/>
        </w:rPr>
        <w:t>.</w:t>
      </w:r>
      <w:r w:rsidR="00226206">
        <w:t xml:space="preserve"> </w:t>
      </w:r>
      <w:r w:rsidR="00993690" w:rsidRPr="00CB0EF0">
        <w:rPr>
          <w:highlight w:val="yellow"/>
        </w:rPr>
        <w:t>Materials will be quarantined on book carts, bags or other containers before handling, checking in or shelving in the collection or on the holds shelf</w:t>
      </w:r>
      <w:r w:rsidR="00F44F9D">
        <w:rPr>
          <w:highlight w:val="yellow"/>
        </w:rPr>
        <w:t xml:space="preserve"> </w:t>
      </w:r>
      <w:r w:rsidR="00F44F9D" w:rsidRPr="008C3AEC">
        <w:rPr>
          <w:highlight w:val="yellow"/>
        </w:rPr>
        <w:t>based on the latest guidance and findings from relevant authorities</w:t>
      </w:r>
      <w:r w:rsidR="00993690" w:rsidRPr="0057456B">
        <w:rPr>
          <w:highlight w:val="yellow"/>
        </w:rPr>
        <w:t xml:space="preserve">. </w:t>
      </w:r>
      <w:r w:rsidR="00993690" w:rsidRPr="00BD29E2">
        <w:t>[</w:t>
      </w:r>
      <w:hyperlink r:id="rId14" w:history="1">
        <w:r w:rsidR="00993690" w:rsidRPr="00BD29E2">
          <w:rPr>
            <w:rStyle w:val="Hyperlink"/>
          </w:rPr>
          <w:t>4</w:t>
        </w:r>
      </w:hyperlink>
      <w:r w:rsidR="00993690" w:rsidRPr="00BD29E2">
        <w:t xml:space="preserve">] </w:t>
      </w:r>
      <w:r w:rsidR="00993690" w:rsidRPr="0057456B">
        <w:rPr>
          <w:highlight w:val="yellow"/>
        </w:rPr>
        <w:t>[</w:t>
      </w:r>
      <w:hyperlink r:id="rId15" w:history="1">
        <w:r w:rsidR="00993690" w:rsidRPr="0057456B">
          <w:rPr>
            <w:rStyle w:val="Hyperlink"/>
            <w:highlight w:val="yellow"/>
          </w:rPr>
          <w:t>37</w:t>
        </w:r>
      </w:hyperlink>
      <w:r w:rsidR="00993690" w:rsidRPr="0057456B">
        <w:rPr>
          <w:highlight w:val="yellow"/>
        </w:rPr>
        <w:t>] [</w:t>
      </w:r>
      <w:hyperlink r:id="rId16" w:history="1">
        <w:r w:rsidR="00993690" w:rsidRPr="0057456B">
          <w:rPr>
            <w:rStyle w:val="Hyperlink"/>
            <w:highlight w:val="yellow"/>
          </w:rPr>
          <w:t>41</w:t>
        </w:r>
      </w:hyperlink>
      <w:r w:rsidR="00993690" w:rsidRPr="0057456B">
        <w:rPr>
          <w:highlight w:val="yellow"/>
        </w:rPr>
        <w:t>]</w:t>
      </w:r>
      <w:r w:rsidR="00226206" w:rsidRPr="00226206">
        <w:rPr>
          <w:b/>
          <w:bCs/>
        </w:rPr>
        <w:t xml:space="preserve"> </w:t>
      </w:r>
      <w:r w:rsidR="00226206" w:rsidRPr="00BE0904">
        <w:rPr>
          <w:b/>
          <w:bCs/>
        </w:rPr>
        <w:t>Please note: MHLS delivery bins cannot be used to quarantine materials.</w:t>
      </w:r>
    </w:p>
    <w:p w14:paraId="2D6DD29D" w14:textId="77777777" w:rsidR="003D66BD" w:rsidRDefault="003D66BD" w:rsidP="003D66BD"/>
    <w:p w14:paraId="489EA2EF" w14:textId="3E321176" w:rsidR="00481EE4" w:rsidRDefault="00481EE4" w:rsidP="003D66BD">
      <w:pPr>
        <w:rPr>
          <w:b/>
          <w:bCs/>
          <w:sz w:val="28"/>
          <w:szCs w:val="28"/>
        </w:rPr>
      </w:pPr>
      <w:r w:rsidRPr="003D66BD">
        <w:rPr>
          <w:b/>
          <w:bCs/>
          <w:sz w:val="28"/>
          <w:szCs w:val="28"/>
        </w:rPr>
        <w:t>Service Level B</w:t>
      </w:r>
    </w:p>
    <w:p w14:paraId="4941D757" w14:textId="64F054B6" w:rsidR="00350431" w:rsidRDefault="00350431" w:rsidP="00350431">
      <w:pPr>
        <w:pStyle w:val="ListParagraph"/>
        <w:numPr>
          <w:ilvl w:val="0"/>
          <w:numId w:val="9"/>
        </w:numPr>
        <w:jc w:val="both"/>
      </w:pPr>
      <w:r w:rsidRPr="006134BC">
        <w:t>Includes the updates to service level plan above.</w:t>
      </w:r>
    </w:p>
    <w:p w14:paraId="492326B8" w14:textId="109F45B4" w:rsidR="000F0F94" w:rsidRDefault="000F0F94" w:rsidP="000F0F94">
      <w:pPr>
        <w:pStyle w:val="ListParagraph"/>
        <w:numPr>
          <w:ilvl w:val="0"/>
          <w:numId w:val="9"/>
        </w:numPr>
        <w:jc w:val="both"/>
      </w:pPr>
      <w:r>
        <w:t>Intro</w:t>
      </w:r>
    </w:p>
    <w:p w14:paraId="64914625" w14:textId="6DE915A0" w:rsidR="000F0F94" w:rsidRDefault="000F0F94" w:rsidP="000F0F94">
      <w:pPr>
        <w:pStyle w:val="ListParagraph"/>
        <w:numPr>
          <w:ilvl w:val="2"/>
          <w:numId w:val="9"/>
        </w:numPr>
        <w:jc w:val="both"/>
        <w:rPr>
          <w:rFonts w:eastAsiaTheme="minorEastAsia"/>
        </w:rPr>
      </w:pPr>
      <w:r w:rsidRPr="00360617">
        <w:rPr>
          <w:rFonts w:eastAsiaTheme="minorEastAsia"/>
        </w:rPr>
        <w:t xml:space="preserve">Edit for </w:t>
      </w:r>
      <w:r>
        <w:rPr>
          <w:rFonts w:eastAsiaTheme="minorEastAsia"/>
        </w:rPr>
        <w:t>updates to transmission models</w:t>
      </w:r>
      <w:r w:rsidRPr="00360617">
        <w:rPr>
          <w:rFonts w:eastAsiaTheme="minorEastAsia"/>
        </w:rPr>
        <w:t xml:space="preserve">.  </w:t>
      </w:r>
    </w:p>
    <w:p w14:paraId="3E9B761D" w14:textId="49A17496" w:rsidR="00801AAB" w:rsidRDefault="00801AAB" w:rsidP="00801AAB">
      <w:pPr>
        <w:pStyle w:val="ListParagraph"/>
        <w:numPr>
          <w:ilvl w:val="3"/>
          <w:numId w:val="9"/>
        </w:numPr>
      </w:pPr>
      <w:r>
        <w:t xml:space="preserve">Transmission of COVID-19 to persons from surfaces contaminated with the virus is not thought to </w:t>
      </w:r>
      <w:r w:rsidRPr="2ED60E6E">
        <w:rPr>
          <w:highlight w:val="yellow"/>
        </w:rPr>
        <w:t>be a common way the virus spreads, and the most common vehicle</w:t>
      </w:r>
      <w:r w:rsidR="00775AD7">
        <w:rPr>
          <w:highlight w:val="yellow"/>
        </w:rPr>
        <w:t>s</w:t>
      </w:r>
      <w:r w:rsidRPr="2ED60E6E">
        <w:rPr>
          <w:highlight w:val="yellow"/>
        </w:rPr>
        <w:t xml:space="preserve"> for transmitting the disease </w:t>
      </w:r>
      <w:r w:rsidR="00775AD7">
        <w:rPr>
          <w:highlight w:val="yellow"/>
        </w:rPr>
        <w:t>are</w:t>
      </w:r>
      <w:r w:rsidRPr="2ED60E6E">
        <w:rPr>
          <w:highlight w:val="yellow"/>
        </w:rPr>
        <w:t xml:space="preserve"> through close person-to-person contact and by airborne transmission.</w:t>
      </w:r>
      <w:r>
        <w:t xml:space="preserve"> [</w:t>
      </w:r>
      <w:hyperlink r:id="rId17">
        <w:r w:rsidRPr="2ED60E6E">
          <w:rPr>
            <w:rStyle w:val="Hyperlink"/>
          </w:rPr>
          <w:t>1</w:t>
        </w:r>
      </w:hyperlink>
      <w:r>
        <w:t xml:space="preserve">] </w:t>
      </w:r>
      <w:r w:rsidRPr="2ED60E6E">
        <w:rPr>
          <w:highlight w:val="yellow"/>
        </w:rPr>
        <w:t xml:space="preserve">The </w:t>
      </w:r>
      <w:proofErr w:type="spellStart"/>
      <w:r w:rsidRPr="2ED60E6E">
        <w:rPr>
          <w:highlight w:val="yellow"/>
        </w:rPr>
        <w:t>REopening</w:t>
      </w:r>
      <w:proofErr w:type="spellEnd"/>
      <w:r w:rsidRPr="2ED60E6E">
        <w:rPr>
          <w:highlight w:val="yellow"/>
        </w:rPr>
        <w:t xml:space="preserve"> Archives, Libraries, and Museums (REALM) project [</w:t>
      </w:r>
      <w:hyperlink r:id="rId18">
        <w:r w:rsidRPr="2ED60E6E">
          <w:rPr>
            <w:rStyle w:val="Hyperlink"/>
            <w:highlight w:val="yellow"/>
          </w:rPr>
          <w:t>37</w:t>
        </w:r>
      </w:hyperlink>
      <w:r w:rsidRPr="2ED60E6E">
        <w:rPr>
          <w:highlight w:val="yellow"/>
        </w:rPr>
        <w:t>] reports that COVID-19 may live on paper, cardboard, plastic and common materials found in circulating library materials for up to 6 days, and the World Health Organization reports it may be possible for a person to get COVID-19 by touching a surface or object that has the virus on it and then touching their own mouth, nose, or possibly their eyes.</w:t>
      </w:r>
      <w:r>
        <w:t xml:space="preserve"> [</w:t>
      </w:r>
      <w:hyperlink r:id="rId19">
        <w:r w:rsidRPr="2ED60E6E">
          <w:rPr>
            <w:rStyle w:val="Hyperlink"/>
          </w:rPr>
          <w:t>3</w:t>
        </w:r>
      </w:hyperlink>
      <w:r w:rsidRPr="2ED60E6E">
        <w:rPr>
          <w:highlight w:val="yellow"/>
        </w:rPr>
        <w:t>] It is currently unknown how many virus cells an infected person will leave on an object, how many virus cells a person can pick up from an object, or how many virus cells are needed to cause an infection.</w:t>
      </w:r>
      <w:r>
        <w:t xml:space="preserve"> Physical library materials will be handled and processed with </w:t>
      </w:r>
      <w:r>
        <w:lastRenderedPageBreak/>
        <w:t>these risks and timelines in mind. At this level of service, all staff that are capable and whose work can be completed from home will telecommute according to the library’s telecommuting policy. The library will provide staff working at the library facility with necessary PPE</w:t>
      </w:r>
      <w:r w:rsidR="26DF42E1">
        <w:t xml:space="preserve"> </w:t>
      </w:r>
      <w:r w:rsidR="26DF42E1" w:rsidRPr="2ED60E6E">
        <w:rPr>
          <w:highlight w:val="yellow"/>
        </w:rPr>
        <w:t>and post signage about the importance of social distancing, handwashing</w:t>
      </w:r>
      <w:r w:rsidR="3231D938" w:rsidRPr="2ED60E6E">
        <w:rPr>
          <w:highlight w:val="yellow"/>
        </w:rPr>
        <w:t>,</w:t>
      </w:r>
      <w:r w:rsidR="26DF42E1" w:rsidRPr="2ED60E6E">
        <w:rPr>
          <w:highlight w:val="yellow"/>
        </w:rPr>
        <w:t xml:space="preserve"> and hand hygiene.</w:t>
      </w:r>
      <w:r w:rsidR="26DF42E1">
        <w:t xml:space="preserve"> </w:t>
      </w:r>
    </w:p>
    <w:p w14:paraId="21EF9AA8" w14:textId="77777777" w:rsidR="000F0F94" w:rsidRPr="00801AAB" w:rsidRDefault="000F0F94" w:rsidP="00801AAB">
      <w:pPr>
        <w:jc w:val="both"/>
        <w:rPr>
          <w:rFonts w:eastAsiaTheme="minorEastAsia"/>
        </w:rPr>
      </w:pPr>
    </w:p>
    <w:p w14:paraId="21D4B15D" w14:textId="50C7BBC2" w:rsidR="006134BC" w:rsidRDefault="003422DB" w:rsidP="006134BC">
      <w:pPr>
        <w:pStyle w:val="ListParagraph"/>
        <w:numPr>
          <w:ilvl w:val="0"/>
          <w:numId w:val="9"/>
        </w:numPr>
        <w:jc w:val="both"/>
      </w:pPr>
      <w:r>
        <w:t>Facilities</w:t>
      </w:r>
    </w:p>
    <w:p w14:paraId="197AD64C" w14:textId="1A6B04D6" w:rsidR="003422DB" w:rsidRDefault="003422DB" w:rsidP="003422DB">
      <w:pPr>
        <w:pStyle w:val="ListParagraph"/>
        <w:numPr>
          <w:ilvl w:val="2"/>
          <w:numId w:val="9"/>
        </w:numPr>
        <w:jc w:val="both"/>
      </w:pPr>
      <w:r>
        <w:t xml:space="preserve">Additional </w:t>
      </w:r>
      <w:r w:rsidR="00396B9A">
        <w:t xml:space="preserve">HVAC </w:t>
      </w:r>
      <w:r w:rsidR="00151DDE">
        <w:t>considerations added</w:t>
      </w:r>
      <w:r w:rsidR="004A2ED6">
        <w:t xml:space="preserve">. </w:t>
      </w:r>
    </w:p>
    <w:p w14:paraId="5B1DF030" w14:textId="2761D8A5" w:rsidR="004A2ED6" w:rsidRPr="004A2ED6" w:rsidRDefault="000620C3" w:rsidP="000620C3">
      <w:pPr>
        <w:pStyle w:val="ListParagraph"/>
        <w:spacing w:line="254" w:lineRule="auto"/>
        <w:ind w:left="1800"/>
        <w:rPr>
          <w:rFonts w:eastAsiaTheme="minorEastAsia"/>
        </w:rPr>
      </w:pPr>
      <w:r>
        <w:rPr>
          <w:rFonts w:eastAsiaTheme="minorEastAsia"/>
        </w:rPr>
        <w:t xml:space="preserve">8. </w:t>
      </w:r>
      <w:r w:rsidR="004A2ED6" w:rsidRPr="004A2ED6">
        <w:rPr>
          <w:rFonts w:eastAsiaTheme="minorEastAsia"/>
        </w:rPr>
        <w:t>The library will ensure the ventilation systems are working and increase outside air ventilation where possible before staff return to the building including the following activities:</w:t>
      </w:r>
    </w:p>
    <w:p w14:paraId="26944638" w14:textId="77777777" w:rsidR="004A2ED6" w:rsidRPr="004A2ED6" w:rsidRDefault="004A2ED6" w:rsidP="004A2ED6">
      <w:pPr>
        <w:pStyle w:val="ListParagraph"/>
        <w:numPr>
          <w:ilvl w:val="0"/>
          <w:numId w:val="4"/>
        </w:numPr>
        <w:spacing w:line="254" w:lineRule="auto"/>
        <w:ind w:left="2520"/>
        <w:rPr>
          <w:rFonts w:eastAsiaTheme="minorEastAsia"/>
        </w:rPr>
      </w:pPr>
      <w:r w:rsidRPr="004A2ED6">
        <w:rPr>
          <w:rFonts w:eastAsiaTheme="minorEastAsia"/>
        </w:rPr>
        <w:t>Increase ventilation rates.</w:t>
      </w:r>
    </w:p>
    <w:p w14:paraId="21569196" w14:textId="77777777" w:rsidR="004A2ED6" w:rsidRPr="004A2ED6" w:rsidRDefault="004A2ED6" w:rsidP="004A2ED6">
      <w:pPr>
        <w:pStyle w:val="ListParagraph"/>
        <w:numPr>
          <w:ilvl w:val="0"/>
          <w:numId w:val="4"/>
        </w:numPr>
        <w:spacing w:line="254" w:lineRule="auto"/>
        <w:ind w:left="2520"/>
        <w:rPr>
          <w:rFonts w:eastAsiaTheme="minorEastAsia"/>
        </w:rPr>
      </w:pPr>
      <w:r w:rsidRPr="004A2ED6">
        <w:rPr>
          <w:rFonts w:eastAsiaTheme="minorEastAsia"/>
        </w:rPr>
        <w:t>Ensure ventilation systems operate properly and provide acceptable indoor air quality for the current occupancy level for each space.</w:t>
      </w:r>
    </w:p>
    <w:p w14:paraId="111BE6A9" w14:textId="77777777" w:rsidR="004A2ED6" w:rsidRPr="004A2ED6" w:rsidRDefault="004A2ED6" w:rsidP="004A2ED6">
      <w:pPr>
        <w:pStyle w:val="ListParagraph"/>
        <w:numPr>
          <w:ilvl w:val="0"/>
          <w:numId w:val="4"/>
        </w:numPr>
        <w:spacing w:line="254" w:lineRule="auto"/>
        <w:ind w:left="2520"/>
        <w:rPr>
          <w:rFonts w:eastAsiaTheme="minorEastAsia"/>
        </w:rPr>
      </w:pPr>
      <w:r w:rsidRPr="004A2ED6">
        <w:rPr>
          <w:rFonts w:eastAsiaTheme="minorEastAsia"/>
        </w:rPr>
        <w:t>Increase outdoor air ventilation, using caution in highly polluted areas. With a lower occupancy level in the building, this increases the effective dilution ventilation per person.</w:t>
      </w:r>
    </w:p>
    <w:p w14:paraId="766C9996" w14:textId="77777777" w:rsidR="004A2ED6" w:rsidRPr="004A2ED6" w:rsidRDefault="004A2ED6" w:rsidP="004A2ED6">
      <w:pPr>
        <w:pStyle w:val="ListParagraph"/>
        <w:numPr>
          <w:ilvl w:val="0"/>
          <w:numId w:val="4"/>
        </w:numPr>
        <w:spacing w:line="254" w:lineRule="auto"/>
        <w:ind w:left="2520"/>
        <w:rPr>
          <w:rFonts w:eastAsiaTheme="minorEastAsia"/>
        </w:rPr>
      </w:pPr>
      <w:r w:rsidRPr="004A2ED6">
        <w:rPr>
          <w:rFonts w:eastAsiaTheme="minorEastAsia"/>
        </w:rPr>
        <w:t>Disable demand-controlled ventilation (DCV).</w:t>
      </w:r>
    </w:p>
    <w:p w14:paraId="3F4D1889" w14:textId="77777777" w:rsidR="004A2ED6" w:rsidRPr="004A2ED6" w:rsidRDefault="004A2ED6" w:rsidP="004A2ED6">
      <w:pPr>
        <w:pStyle w:val="ListParagraph"/>
        <w:numPr>
          <w:ilvl w:val="0"/>
          <w:numId w:val="4"/>
        </w:numPr>
        <w:spacing w:line="254" w:lineRule="auto"/>
        <w:ind w:left="2520"/>
        <w:rPr>
          <w:rFonts w:eastAsiaTheme="minorEastAsia"/>
        </w:rPr>
      </w:pPr>
      <w:r w:rsidRPr="004A2ED6">
        <w:rPr>
          <w:rFonts w:eastAsiaTheme="minorEastAsia"/>
        </w:rPr>
        <w:t>Further open minimum outdoor air dampers (as high as 100%) to reduce or eliminate recirculation. In mild weather, this will not affect thermal comfort or humidity. However, this may be difficult to do in cold or hot weather.</w:t>
      </w:r>
    </w:p>
    <w:p w14:paraId="0BB32227" w14:textId="77777777" w:rsidR="004A2ED6" w:rsidRPr="004A2ED6" w:rsidRDefault="004A2ED6" w:rsidP="004A2ED6">
      <w:pPr>
        <w:pStyle w:val="ListParagraph"/>
        <w:numPr>
          <w:ilvl w:val="0"/>
          <w:numId w:val="4"/>
        </w:numPr>
        <w:spacing w:line="254" w:lineRule="auto"/>
        <w:ind w:left="2520"/>
        <w:rPr>
          <w:rFonts w:eastAsiaTheme="minorEastAsia"/>
        </w:rPr>
      </w:pPr>
      <w:r w:rsidRPr="004A2ED6">
        <w:rPr>
          <w:rFonts w:eastAsiaTheme="minorEastAsia"/>
        </w:rPr>
        <w:t>Improve central air filtration to the MERV-13 or the highest compatible with the filter rack, and seal edges of the filter to limit bypass.</w:t>
      </w:r>
    </w:p>
    <w:p w14:paraId="7231F899" w14:textId="77777777" w:rsidR="004A2ED6" w:rsidRPr="004A2ED6" w:rsidRDefault="004A2ED6" w:rsidP="004A2ED6">
      <w:pPr>
        <w:pStyle w:val="ListParagraph"/>
        <w:numPr>
          <w:ilvl w:val="0"/>
          <w:numId w:val="4"/>
        </w:numPr>
        <w:spacing w:line="254" w:lineRule="auto"/>
        <w:ind w:left="2520"/>
        <w:rPr>
          <w:rFonts w:eastAsiaTheme="minorEastAsia"/>
        </w:rPr>
      </w:pPr>
      <w:r w:rsidRPr="004A2ED6">
        <w:rPr>
          <w:rFonts w:eastAsiaTheme="minorEastAsia"/>
        </w:rPr>
        <w:t>Check filters to ensure they are within service life and appropriately installed.</w:t>
      </w:r>
    </w:p>
    <w:p w14:paraId="021AFBE6" w14:textId="77777777" w:rsidR="004A2ED6" w:rsidRPr="004A2ED6" w:rsidRDefault="004A2ED6" w:rsidP="004A2ED6">
      <w:pPr>
        <w:pStyle w:val="ListParagraph"/>
        <w:numPr>
          <w:ilvl w:val="0"/>
          <w:numId w:val="4"/>
        </w:numPr>
        <w:spacing w:line="254" w:lineRule="auto"/>
        <w:ind w:left="2520"/>
        <w:rPr>
          <w:rFonts w:eastAsiaTheme="minorEastAsia"/>
        </w:rPr>
      </w:pPr>
      <w:r w:rsidRPr="004A2ED6">
        <w:rPr>
          <w:rFonts w:eastAsiaTheme="minorEastAsia"/>
        </w:rPr>
        <w:t>Keep systems running longer hours, 24/7 if possible, to enhance air exchanges in the building space. [</w:t>
      </w:r>
      <w:hyperlink r:id="rId20" w:history="1">
        <w:r w:rsidRPr="004A2ED6">
          <w:rPr>
            <w:rStyle w:val="Hyperlink"/>
            <w:rFonts w:eastAsiaTheme="minorEastAsia"/>
          </w:rPr>
          <w:t>31</w:t>
        </w:r>
      </w:hyperlink>
      <w:r w:rsidRPr="004A2ED6">
        <w:rPr>
          <w:rFonts w:eastAsiaTheme="minorEastAsia"/>
        </w:rPr>
        <w:t>]</w:t>
      </w:r>
    </w:p>
    <w:p w14:paraId="603E52D6" w14:textId="77777777" w:rsidR="004A2ED6" w:rsidRPr="004A2ED6" w:rsidRDefault="004A2ED6" w:rsidP="004A2ED6">
      <w:pPr>
        <w:pStyle w:val="ListParagraph"/>
        <w:numPr>
          <w:ilvl w:val="0"/>
          <w:numId w:val="4"/>
        </w:numPr>
        <w:spacing w:line="254" w:lineRule="auto"/>
        <w:ind w:left="2520"/>
        <w:rPr>
          <w:rFonts w:eastAsiaTheme="minorEastAsia"/>
          <w:highlight w:val="yellow"/>
        </w:rPr>
      </w:pPr>
      <w:r w:rsidRPr="004A2ED6">
        <w:rPr>
          <w:rFonts w:eastAsiaTheme="minorEastAsia"/>
          <w:highlight w:val="yellow"/>
        </w:rPr>
        <w:t>Run the HVAC system at maximum outside airflow for 2 hours before and after occupied times, in accordance with industry standards.</w:t>
      </w:r>
    </w:p>
    <w:p w14:paraId="51FCC2FF" w14:textId="77777777" w:rsidR="004A2ED6" w:rsidRPr="004A2ED6" w:rsidRDefault="004A2ED6" w:rsidP="004A2ED6">
      <w:pPr>
        <w:pStyle w:val="ListParagraph"/>
        <w:numPr>
          <w:ilvl w:val="0"/>
          <w:numId w:val="4"/>
        </w:numPr>
        <w:spacing w:line="254" w:lineRule="auto"/>
        <w:ind w:left="2520"/>
        <w:rPr>
          <w:rFonts w:eastAsiaTheme="minorEastAsia"/>
          <w:highlight w:val="yellow"/>
        </w:rPr>
      </w:pPr>
      <w:r w:rsidRPr="004A2ED6">
        <w:rPr>
          <w:rFonts w:eastAsiaTheme="minorEastAsia"/>
          <w:highlight w:val="yellow"/>
        </w:rPr>
        <w:t>Generate clean-to-less-clean air movements by re-evaluating the positioning of supply and exhaust air diffusers and/or dampers and adjusting zone supply and exhaust flow rates to establish measurable pressure differentials. Have staff work in “clean” ventilation zones that do not include higher-risk areas such as visitor reception or exercise facilities (if open). [</w:t>
      </w:r>
      <w:hyperlink r:id="rId21" w:history="1">
        <w:r w:rsidRPr="004A2ED6">
          <w:rPr>
            <w:rStyle w:val="Hyperlink"/>
            <w:rFonts w:eastAsiaTheme="minorEastAsia"/>
            <w:highlight w:val="yellow"/>
          </w:rPr>
          <w:t>39</w:t>
        </w:r>
      </w:hyperlink>
      <w:r w:rsidRPr="004A2ED6">
        <w:rPr>
          <w:rFonts w:eastAsiaTheme="minorEastAsia"/>
          <w:highlight w:val="yellow"/>
        </w:rPr>
        <w:t>]</w:t>
      </w:r>
    </w:p>
    <w:p w14:paraId="68D186A7" w14:textId="77777777" w:rsidR="004A2ED6" w:rsidRPr="004A2ED6" w:rsidRDefault="004A2ED6" w:rsidP="004A2ED6">
      <w:pPr>
        <w:pStyle w:val="ListParagraph"/>
        <w:numPr>
          <w:ilvl w:val="0"/>
          <w:numId w:val="4"/>
        </w:numPr>
        <w:spacing w:line="254" w:lineRule="auto"/>
        <w:ind w:left="2520"/>
        <w:rPr>
          <w:rFonts w:eastAsiaTheme="minorEastAsia"/>
          <w:highlight w:val="yellow"/>
        </w:rPr>
      </w:pPr>
      <w:r w:rsidRPr="004A2ED6">
        <w:rPr>
          <w:rFonts w:eastAsiaTheme="minorEastAsia"/>
          <w:highlight w:val="yellow"/>
        </w:rPr>
        <w:t>Use portable high-efficiency particulate air (HEPA) fan/filtration systems to help enhance air cleaning (especially in higher-risk areas).</w:t>
      </w:r>
    </w:p>
    <w:p w14:paraId="4927A296" w14:textId="77777777" w:rsidR="004A2ED6" w:rsidRPr="004A2ED6" w:rsidRDefault="004A2ED6" w:rsidP="004A2ED6">
      <w:pPr>
        <w:pStyle w:val="ListParagraph"/>
        <w:numPr>
          <w:ilvl w:val="0"/>
          <w:numId w:val="4"/>
        </w:numPr>
        <w:spacing w:line="254" w:lineRule="auto"/>
        <w:ind w:left="2520"/>
        <w:rPr>
          <w:rFonts w:eastAsiaTheme="minorEastAsia"/>
          <w:highlight w:val="yellow"/>
        </w:rPr>
      </w:pPr>
      <w:r w:rsidRPr="004A2ED6">
        <w:rPr>
          <w:rFonts w:eastAsiaTheme="minorEastAsia"/>
          <w:highlight w:val="yellow"/>
        </w:rPr>
        <w:t>Ensure exhaust fans in restroom facilities are functional and operating at full capacity when the building is occupied.</w:t>
      </w:r>
    </w:p>
    <w:p w14:paraId="16A53639" w14:textId="2EA693D0" w:rsidR="004A2ED6" w:rsidRPr="006B501D" w:rsidRDefault="004A2ED6" w:rsidP="006B501D">
      <w:pPr>
        <w:pStyle w:val="ListParagraph"/>
        <w:numPr>
          <w:ilvl w:val="0"/>
          <w:numId w:val="4"/>
        </w:numPr>
        <w:spacing w:line="254" w:lineRule="auto"/>
        <w:ind w:left="2520"/>
        <w:rPr>
          <w:rFonts w:eastAsiaTheme="minorEastAsia"/>
          <w:b/>
          <w:bCs/>
          <w:highlight w:val="yellow"/>
        </w:rPr>
      </w:pPr>
      <w:r w:rsidRPr="004A2ED6">
        <w:rPr>
          <w:rFonts w:eastAsiaTheme="minorEastAsia"/>
          <w:highlight w:val="yellow"/>
        </w:rPr>
        <w:t>Use ultraviolet germicidal irradiation (UVGI) as a supplemental technique to inactivate potential airborne virus in the upper-room air of common occupied spaces, in accordance with industry guidelines. [</w:t>
      </w:r>
      <w:hyperlink r:id="rId22" w:history="1">
        <w:r w:rsidRPr="004A2ED6">
          <w:rPr>
            <w:rStyle w:val="Hyperlink"/>
            <w:rFonts w:eastAsiaTheme="minorEastAsia"/>
            <w:highlight w:val="yellow"/>
          </w:rPr>
          <w:t>38</w:t>
        </w:r>
      </w:hyperlink>
      <w:r w:rsidRPr="004A2ED6">
        <w:rPr>
          <w:rFonts w:eastAsiaTheme="minorEastAsia"/>
          <w:highlight w:val="yellow"/>
        </w:rPr>
        <w:t>]</w:t>
      </w:r>
    </w:p>
    <w:p w14:paraId="0D229A16" w14:textId="77777777" w:rsidR="008E7F3A" w:rsidRDefault="008E7F3A" w:rsidP="002750C9">
      <w:pPr>
        <w:spacing w:line="254" w:lineRule="auto"/>
      </w:pPr>
    </w:p>
    <w:p w14:paraId="57D55D35" w14:textId="11550EBD" w:rsidR="00A84747" w:rsidRDefault="00A84747" w:rsidP="00A84747">
      <w:pPr>
        <w:pStyle w:val="ListParagraph"/>
        <w:numPr>
          <w:ilvl w:val="0"/>
          <w:numId w:val="9"/>
        </w:numPr>
        <w:spacing w:line="254" w:lineRule="auto"/>
      </w:pPr>
      <w:r>
        <w:t>MHLS Delivery</w:t>
      </w:r>
    </w:p>
    <w:p w14:paraId="092F9368" w14:textId="4A06637C" w:rsidR="00646C57" w:rsidRDefault="00646C57" w:rsidP="00646C57">
      <w:pPr>
        <w:pStyle w:val="ListParagraph"/>
        <w:numPr>
          <w:ilvl w:val="2"/>
          <w:numId w:val="9"/>
        </w:numPr>
        <w:jc w:val="both"/>
      </w:pPr>
      <w:r>
        <w:t>Amended item 5 to reflect CDC’s update regarding surface transmission.</w:t>
      </w:r>
    </w:p>
    <w:p w14:paraId="07233431" w14:textId="037DF478" w:rsidR="00A84747" w:rsidRDefault="007D7747" w:rsidP="007D7747">
      <w:pPr>
        <w:pStyle w:val="ListParagraph"/>
        <w:numPr>
          <w:ilvl w:val="0"/>
          <w:numId w:val="23"/>
        </w:numPr>
        <w:spacing w:line="254" w:lineRule="auto"/>
      </w:pPr>
      <w:r w:rsidRPr="007D7747">
        <w:t xml:space="preserve">Incoming materials received through delivery will be </w:t>
      </w:r>
      <w:r w:rsidRPr="007D7747">
        <w:rPr>
          <w:strike/>
        </w:rPr>
        <w:t>considered to possibly have COVID-19 present for up to 72 hours and</w:t>
      </w:r>
      <w:r w:rsidRPr="007D7747">
        <w:t xml:space="preserve"> handled as return materials described above. </w:t>
      </w:r>
    </w:p>
    <w:p w14:paraId="12185518" w14:textId="77777777" w:rsidR="008E7F3A" w:rsidRDefault="008E7F3A" w:rsidP="008E7F3A">
      <w:pPr>
        <w:pStyle w:val="ListParagraph"/>
        <w:spacing w:line="254" w:lineRule="auto"/>
        <w:ind w:left="2430"/>
      </w:pPr>
    </w:p>
    <w:p w14:paraId="3CCE8447" w14:textId="41182E1B" w:rsidR="000218BC" w:rsidRDefault="00B72B96" w:rsidP="00B72B96">
      <w:pPr>
        <w:pStyle w:val="ListParagraph"/>
        <w:numPr>
          <w:ilvl w:val="0"/>
          <w:numId w:val="9"/>
        </w:numPr>
        <w:spacing w:line="254" w:lineRule="auto"/>
      </w:pPr>
      <w:r>
        <w:t>Communication</w:t>
      </w:r>
    </w:p>
    <w:p w14:paraId="57AD9D38" w14:textId="3647DB1D" w:rsidR="00B72B96" w:rsidRDefault="00B72B96" w:rsidP="00B72B96">
      <w:pPr>
        <w:pStyle w:val="ListParagraph"/>
        <w:numPr>
          <w:ilvl w:val="2"/>
          <w:numId w:val="9"/>
        </w:numPr>
        <w:spacing w:line="254" w:lineRule="auto"/>
      </w:pPr>
      <w:r>
        <w:t>Added information regarding communication of library materials handling</w:t>
      </w:r>
      <w:r w:rsidR="003949C6">
        <w:t xml:space="preserve"> procedures relevant to COVID-19</w:t>
      </w:r>
      <w:r w:rsidR="008E7F3A">
        <w:t xml:space="preserve"> to item 2.</w:t>
      </w:r>
    </w:p>
    <w:p w14:paraId="4C461607" w14:textId="02056858" w:rsidR="003949C6" w:rsidRDefault="008E7F3A" w:rsidP="008E7F3A">
      <w:pPr>
        <w:pStyle w:val="ListParagraph"/>
        <w:spacing w:line="254" w:lineRule="auto"/>
        <w:ind w:left="2070"/>
        <w:rPr>
          <w:rFonts w:eastAsiaTheme="minorEastAsia"/>
        </w:rPr>
      </w:pPr>
      <w:r>
        <w:rPr>
          <w:rFonts w:eastAsiaTheme="minorEastAsia"/>
        </w:rPr>
        <w:lastRenderedPageBreak/>
        <w:t xml:space="preserve">2. </w:t>
      </w:r>
      <w:r w:rsidR="003949C6">
        <w:rPr>
          <w:rFonts w:eastAsiaTheme="minorEastAsia"/>
        </w:rPr>
        <w:t xml:space="preserve">The library will use outside signage, social media, phone calls, mail, or email to communicate with patrons about </w:t>
      </w:r>
      <w:r w:rsidR="003949C6" w:rsidRPr="000343FA">
        <w:rPr>
          <w:rFonts w:eastAsiaTheme="minorEastAsia"/>
          <w:highlight w:val="yellow"/>
        </w:rPr>
        <w:t>materials handling</w:t>
      </w:r>
      <w:r w:rsidR="003949C6">
        <w:rPr>
          <w:rFonts w:eastAsiaTheme="minorEastAsia"/>
          <w:highlight w:val="yellow"/>
        </w:rPr>
        <w:t xml:space="preserve">, disinfection, </w:t>
      </w:r>
      <w:r w:rsidR="003949C6" w:rsidRPr="000343FA">
        <w:rPr>
          <w:rFonts w:eastAsiaTheme="minorEastAsia"/>
          <w:highlight w:val="yellow"/>
        </w:rPr>
        <w:t>and quarantine periods</w:t>
      </w:r>
      <w:r w:rsidR="003949C6">
        <w:rPr>
          <w:rFonts w:eastAsiaTheme="minorEastAsia"/>
        </w:rPr>
        <w:t>, available library services and provide support. [</w:t>
      </w:r>
      <w:hyperlink r:id="rId23" w:history="1">
        <w:r w:rsidR="003949C6">
          <w:rPr>
            <w:rStyle w:val="Hyperlink"/>
            <w:rFonts w:eastAsiaTheme="minorEastAsia"/>
          </w:rPr>
          <w:t>6</w:t>
        </w:r>
      </w:hyperlink>
      <w:r w:rsidR="003949C6">
        <w:rPr>
          <w:rFonts w:eastAsiaTheme="minorEastAsia"/>
        </w:rPr>
        <w:t>]</w:t>
      </w:r>
    </w:p>
    <w:p w14:paraId="53DD70B8" w14:textId="77777777" w:rsidR="00C83811" w:rsidRDefault="00C83811" w:rsidP="00C83811">
      <w:pPr>
        <w:pStyle w:val="ListParagraph"/>
        <w:numPr>
          <w:ilvl w:val="0"/>
          <w:numId w:val="9"/>
        </w:numPr>
        <w:jc w:val="both"/>
      </w:pPr>
      <w:r w:rsidRPr="002679E0">
        <w:t>Materials Purchasing and Processing</w:t>
      </w:r>
    </w:p>
    <w:p w14:paraId="713A12F0" w14:textId="436B6180" w:rsidR="00C83811" w:rsidRDefault="00C83811" w:rsidP="00C83811">
      <w:pPr>
        <w:pStyle w:val="ListParagraph"/>
        <w:numPr>
          <w:ilvl w:val="2"/>
          <w:numId w:val="9"/>
        </w:numPr>
        <w:jc w:val="both"/>
      </w:pPr>
      <w:r>
        <w:t>Amended items 3 and 4 to reflect CDC’s update regarding surface transmission.</w:t>
      </w:r>
    </w:p>
    <w:p w14:paraId="313EB9BF" w14:textId="77777777" w:rsidR="00C83811" w:rsidRDefault="00C83811" w:rsidP="00C83811">
      <w:pPr>
        <w:pStyle w:val="ListParagraph"/>
        <w:spacing w:line="254" w:lineRule="auto"/>
        <w:ind w:left="2160"/>
      </w:pPr>
      <w:r>
        <w:rPr>
          <w:highlight w:val="yellow"/>
        </w:rPr>
        <w:t xml:space="preserve">3. </w:t>
      </w:r>
      <w:r w:rsidRPr="00CB0EF0">
        <w:rPr>
          <w:highlight w:val="yellow"/>
        </w:rPr>
        <w:t xml:space="preserve">The library will quarantine </w:t>
      </w:r>
      <w:r>
        <w:rPr>
          <w:highlight w:val="yellow"/>
        </w:rPr>
        <w:t>new</w:t>
      </w:r>
      <w:r w:rsidRPr="00CB0EF0">
        <w:rPr>
          <w:highlight w:val="yellow"/>
        </w:rPr>
        <w:t xml:space="preserve"> </w:t>
      </w:r>
      <w:r>
        <w:rPr>
          <w:highlight w:val="yellow"/>
        </w:rPr>
        <w:t>books</w:t>
      </w:r>
      <w:r w:rsidRPr="00CB0EF0">
        <w:rPr>
          <w:highlight w:val="yellow"/>
        </w:rPr>
        <w:t xml:space="preserve"> based on the latest guidance and findings from relevant authorities</w:t>
      </w:r>
      <w:r>
        <w:rPr>
          <w:highlight w:val="yellow"/>
        </w:rPr>
        <w:t>.</w:t>
      </w:r>
      <w:r w:rsidRPr="0057456B">
        <w:rPr>
          <w:highlight w:val="yellow"/>
        </w:rPr>
        <w:t xml:space="preserve"> </w:t>
      </w:r>
      <w:r w:rsidRPr="00BD29E2">
        <w:t>[</w:t>
      </w:r>
      <w:hyperlink r:id="rId24" w:history="1">
        <w:r w:rsidRPr="00BD29E2">
          <w:rPr>
            <w:rStyle w:val="Hyperlink"/>
          </w:rPr>
          <w:t>4</w:t>
        </w:r>
      </w:hyperlink>
      <w:r w:rsidRPr="00BD29E2">
        <w:t xml:space="preserve">] </w:t>
      </w:r>
      <w:r w:rsidRPr="0057456B">
        <w:rPr>
          <w:highlight w:val="yellow"/>
        </w:rPr>
        <w:t>[</w:t>
      </w:r>
      <w:hyperlink r:id="rId25" w:history="1">
        <w:r w:rsidRPr="0057456B">
          <w:rPr>
            <w:rStyle w:val="Hyperlink"/>
            <w:highlight w:val="yellow"/>
          </w:rPr>
          <w:t>37</w:t>
        </w:r>
      </w:hyperlink>
      <w:r w:rsidRPr="0057456B">
        <w:rPr>
          <w:highlight w:val="yellow"/>
        </w:rPr>
        <w:t>] [</w:t>
      </w:r>
      <w:hyperlink r:id="rId26" w:history="1">
        <w:r w:rsidRPr="0057456B">
          <w:rPr>
            <w:rStyle w:val="Hyperlink"/>
            <w:highlight w:val="yellow"/>
          </w:rPr>
          <w:t>41</w:t>
        </w:r>
      </w:hyperlink>
      <w:r w:rsidRPr="0057456B">
        <w:rPr>
          <w:highlight w:val="yellow"/>
        </w:rPr>
        <w:t>]</w:t>
      </w:r>
      <w:r>
        <w:t xml:space="preserve"> </w:t>
      </w:r>
    </w:p>
    <w:p w14:paraId="571D2780" w14:textId="7E918F98" w:rsidR="00515B92" w:rsidRPr="00C83811" w:rsidRDefault="00C83811" w:rsidP="00C83811">
      <w:pPr>
        <w:pStyle w:val="ListParagraph"/>
        <w:spacing w:line="254" w:lineRule="auto"/>
        <w:ind w:left="2160"/>
      </w:pPr>
      <w:r w:rsidRPr="007E5C93">
        <w:rPr>
          <w:highlight w:val="yellow"/>
        </w:rPr>
        <w:t>4</w:t>
      </w:r>
      <w:r>
        <w:rPr>
          <w:highlight w:val="yellow"/>
        </w:rPr>
        <w:t xml:space="preserve">. </w:t>
      </w:r>
      <w:r w:rsidRPr="00CB0EF0">
        <w:rPr>
          <w:highlight w:val="yellow"/>
        </w:rPr>
        <w:t xml:space="preserve">The library will quarantine </w:t>
      </w:r>
      <w:r>
        <w:rPr>
          <w:highlight w:val="yellow"/>
        </w:rPr>
        <w:t>new</w:t>
      </w:r>
      <w:r w:rsidRPr="00CB0EF0">
        <w:rPr>
          <w:highlight w:val="yellow"/>
        </w:rPr>
        <w:t xml:space="preserve"> </w:t>
      </w:r>
      <w:r>
        <w:rPr>
          <w:highlight w:val="yellow"/>
        </w:rPr>
        <w:t>DVD’s and other materials</w:t>
      </w:r>
      <w:r w:rsidRPr="00CB0EF0">
        <w:rPr>
          <w:highlight w:val="yellow"/>
        </w:rPr>
        <w:t xml:space="preserve"> based on the latest guidance and findings from relevant authorities</w:t>
      </w:r>
      <w:r>
        <w:rPr>
          <w:highlight w:val="yellow"/>
        </w:rPr>
        <w:t>.</w:t>
      </w:r>
      <w:r w:rsidRPr="0057456B">
        <w:rPr>
          <w:highlight w:val="yellow"/>
        </w:rPr>
        <w:t xml:space="preserve"> </w:t>
      </w:r>
      <w:r w:rsidRPr="00BD29E2">
        <w:t>[</w:t>
      </w:r>
      <w:hyperlink r:id="rId27" w:history="1">
        <w:r w:rsidRPr="00BD29E2">
          <w:rPr>
            <w:rStyle w:val="Hyperlink"/>
          </w:rPr>
          <w:t>4</w:t>
        </w:r>
      </w:hyperlink>
      <w:r w:rsidRPr="00BD29E2">
        <w:t xml:space="preserve">] </w:t>
      </w:r>
      <w:r w:rsidRPr="0057456B">
        <w:rPr>
          <w:highlight w:val="yellow"/>
        </w:rPr>
        <w:t>[</w:t>
      </w:r>
      <w:hyperlink r:id="rId28" w:history="1">
        <w:r w:rsidRPr="0057456B">
          <w:rPr>
            <w:rStyle w:val="Hyperlink"/>
            <w:highlight w:val="yellow"/>
          </w:rPr>
          <w:t>37</w:t>
        </w:r>
      </w:hyperlink>
      <w:r w:rsidRPr="0057456B">
        <w:rPr>
          <w:highlight w:val="yellow"/>
        </w:rPr>
        <w:t>] [</w:t>
      </w:r>
      <w:hyperlink r:id="rId29" w:history="1">
        <w:r w:rsidRPr="0057456B">
          <w:rPr>
            <w:rStyle w:val="Hyperlink"/>
            <w:highlight w:val="yellow"/>
          </w:rPr>
          <w:t>41</w:t>
        </w:r>
      </w:hyperlink>
      <w:r w:rsidRPr="0057456B">
        <w:rPr>
          <w:highlight w:val="yellow"/>
        </w:rPr>
        <w:t>]</w:t>
      </w:r>
    </w:p>
    <w:p w14:paraId="372EEE4B" w14:textId="77777777" w:rsidR="00247260" w:rsidRDefault="00247260" w:rsidP="00360617">
      <w:pPr>
        <w:rPr>
          <w:b/>
          <w:bCs/>
          <w:sz w:val="28"/>
          <w:szCs w:val="28"/>
        </w:rPr>
      </w:pPr>
    </w:p>
    <w:p w14:paraId="7E812256" w14:textId="128FF176" w:rsidR="0087661D" w:rsidRDefault="003D66BD" w:rsidP="00360617">
      <w:pPr>
        <w:rPr>
          <w:b/>
          <w:bCs/>
          <w:sz w:val="28"/>
          <w:szCs w:val="28"/>
        </w:rPr>
      </w:pPr>
      <w:r w:rsidRPr="003D66BD">
        <w:rPr>
          <w:b/>
          <w:bCs/>
          <w:sz w:val="28"/>
          <w:szCs w:val="28"/>
        </w:rPr>
        <w:t xml:space="preserve">Service Level </w:t>
      </w:r>
      <w:r>
        <w:rPr>
          <w:b/>
          <w:bCs/>
          <w:sz w:val="28"/>
          <w:szCs w:val="28"/>
        </w:rPr>
        <w:t>C</w:t>
      </w:r>
    </w:p>
    <w:p w14:paraId="56C867BC" w14:textId="434A3933" w:rsidR="006134BC" w:rsidRDefault="006134BC" w:rsidP="00360617">
      <w:pPr>
        <w:pStyle w:val="ListParagraph"/>
        <w:numPr>
          <w:ilvl w:val="0"/>
          <w:numId w:val="9"/>
        </w:numPr>
        <w:jc w:val="both"/>
      </w:pPr>
      <w:r w:rsidRPr="006134BC">
        <w:t>Includes the updates to service level plan</w:t>
      </w:r>
      <w:r>
        <w:t>s</w:t>
      </w:r>
      <w:r w:rsidRPr="006134BC">
        <w:t xml:space="preserve"> above.</w:t>
      </w:r>
    </w:p>
    <w:p w14:paraId="22CAC3C6" w14:textId="77777777" w:rsidR="002750C9" w:rsidRDefault="002750C9" w:rsidP="002750C9">
      <w:pPr>
        <w:pStyle w:val="ListParagraph"/>
        <w:numPr>
          <w:ilvl w:val="0"/>
          <w:numId w:val="9"/>
        </w:numPr>
        <w:jc w:val="both"/>
      </w:pPr>
      <w:r>
        <w:t>Entrance to Building</w:t>
      </w:r>
    </w:p>
    <w:p w14:paraId="57C54564" w14:textId="77777777" w:rsidR="002750C9" w:rsidRDefault="002750C9" w:rsidP="002750C9">
      <w:pPr>
        <w:pStyle w:val="ListParagraph"/>
        <w:numPr>
          <w:ilvl w:val="3"/>
          <w:numId w:val="9"/>
        </w:numPr>
        <w:jc w:val="both"/>
      </w:pPr>
      <w:r>
        <w:t xml:space="preserve">Removed item 3. </w:t>
      </w:r>
    </w:p>
    <w:p w14:paraId="4603EB96" w14:textId="77777777" w:rsidR="002750C9" w:rsidRDefault="002750C9" w:rsidP="002750C9">
      <w:pPr>
        <w:pStyle w:val="ListParagraph"/>
        <w:spacing w:line="254" w:lineRule="auto"/>
        <w:ind w:left="2790"/>
        <w:rPr>
          <w:strike/>
        </w:rPr>
      </w:pPr>
      <w:r w:rsidRPr="00A75F57">
        <w:rPr>
          <w:strike/>
        </w:rPr>
        <w:t>3. At this service level the library will offer special hours limited to vulnerable populations so that they can access the library when few patrons will be in the building.</w:t>
      </w:r>
    </w:p>
    <w:p w14:paraId="1F71C6AA" w14:textId="77777777" w:rsidR="002750C9" w:rsidRDefault="002750C9" w:rsidP="002750C9">
      <w:pPr>
        <w:pStyle w:val="ListParagraph"/>
        <w:numPr>
          <w:ilvl w:val="3"/>
          <w:numId w:val="9"/>
        </w:numPr>
        <w:jc w:val="both"/>
      </w:pPr>
      <w:r w:rsidRPr="0025214B">
        <w:t>Clarifying note regarding face</w:t>
      </w:r>
      <w:r>
        <w:t xml:space="preserve"> </w:t>
      </w:r>
      <w:r w:rsidRPr="0025214B">
        <w:t>shields added</w:t>
      </w:r>
      <w:r>
        <w:t xml:space="preserve"> to item 10. </w:t>
      </w:r>
    </w:p>
    <w:p w14:paraId="6ADF342F" w14:textId="77777777" w:rsidR="002750C9" w:rsidRPr="0069325E" w:rsidRDefault="002750C9" w:rsidP="002750C9">
      <w:pPr>
        <w:pStyle w:val="ListParagraph"/>
        <w:numPr>
          <w:ilvl w:val="0"/>
          <w:numId w:val="21"/>
        </w:numPr>
        <w:spacing w:line="254" w:lineRule="auto"/>
      </w:pPr>
      <w:r w:rsidRPr="0069325E">
        <w:t xml:space="preserve">Entrance to the library will only be permitted for patrons and visitors wearing an acceptable face covering; provided, however, that the customer is over the age of two and able to medically tolerate such covering. </w:t>
      </w:r>
    </w:p>
    <w:p w14:paraId="0FE1D368" w14:textId="77777777" w:rsidR="002750C9" w:rsidRPr="0069325E" w:rsidRDefault="002750C9" w:rsidP="002750C9">
      <w:pPr>
        <w:pStyle w:val="ListParagraph"/>
        <w:numPr>
          <w:ilvl w:val="5"/>
          <w:numId w:val="9"/>
        </w:numPr>
        <w:spacing w:line="254" w:lineRule="auto"/>
      </w:pPr>
      <w:r w:rsidRPr="0069325E">
        <w:t xml:space="preserve">The library is prohibited from requesting or requiring medical or other documentation from a patron who declines to wear a face covering due to a medical or other health condition that prevents such usage. </w:t>
      </w:r>
    </w:p>
    <w:p w14:paraId="6577F8A6" w14:textId="77777777" w:rsidR="002750C9" w:rsidRPr="0069325E" w:rsidRDefault="002750C9" w:rsidP="002750C9">
      <w:pPr>
        <w:pStyle w:val="ListParagraph"/>
        <w:numPr>
          <w:ilvl w:val="5"/>
          <w:numId w:val="9"/>
        </w:numPr>
        <w:spacing w:line="254" w:lineRule="auto"/>
      </w:pPr>
      <w:r w:rsidRPr="0069325E">
        <w:t>If entry is denied, the library will seek to provide alternate methods of library service for the patron. [</w:t>
      </w:r>
      <w:hyperlink r:id="rId30" w:history="1">
        <w:r w:rsidRPr="0069325E">
          <w:rPr>
            <w:rStyle w:val="Hyperlink"/>
          </w:rPr>
          <w:t>26</w:t>
        </w:r>
      </w:hyperlink>
      <w:r w:rsidRPr="0069325E">
        <w:t>] [</w:t>
      </w:r>
      <w:hyperlink r:id="rId31" w:history="1">
        <w:r w:rsidRPr="0069325E">
          <w:rPr>
            <w:rStyle w:val="Hyperlink"/>
          </w:rPr>
          <w:t>29</w:t>
        </w:r>
      </w:hyperlink>
      <w:r w:rsidRPr="0069325E">
        <w:t>]</w:t>
      </w:r>
    </w:p>
    <w:p w14:paraId="1181273B" w14:textId="2CD448B9" w:rsidR="002750C9" w:rsidRDefault="002750C9" w:rsidP="002750C9">
      <w:pPr>
        <w:pStyle w:val="ListParagraph"/>
        <w:numPr>
          <w:ilvl w:val="5"/>
          <w:numId w:val="9"/>
        </w:numPr>
        <w:spacing w:line="254" w:lineRule="auto"/>
      </w:pPr>
      <w:r w:rsidRPr="0069325E">
        <w:rPr>
          <w:highlight w:val="yellow"/>
        </w:rPr>
        <w:t>Face-coverings shall include, but are not limited to, cloth masks (e.g. homemade sewn, quick cut, bandana), surgical masks, N-95 respirators, and face shields. [</w:t>
      </w:r>
      <w:hyperlink r:id="rId32" w:history="1">
        <w:r w:rsidRPr="0069325E">
          <w:rPr>
            <w:rStyle w:val="Hyperlink"/>
            <w:highlight w:val="yellow"/>
          </w:rPr>
          <w:t>40</w:t>
        </w:r>
      </w:hyperlink>
      <w:r w:rsidRPr="0069325E">
        <w:rPr>
          <w:highlight w:val="yellow"/>
        </w:rPr>
        <w:t>]</w:t>
      </w:r>
    </w:p>
    <w:p w14:paraId="1DBB435A" w14:textId="77777777" w:rsidR="009B5233" w:rsidRDefault="009B5233" w:rsidP="009B5233">
      <w:pPr>
        <w:pStyle w:val="ListParagraph"/>
        <w:numPr>
          <w:ilvl w:val="0"/>
          <w:numId w:val="9"/>
        </w:numPr>
        <w:spacing w:line="254" w:lineRule="auto"/>
      </w:pPr>
      <w:r>
        <w:t>MHLS Delivery</w:t>
      </w:r>
    </w:p>
    <w:p w14:paraId="34138B38" w14:textId="5C924C39" w:rsidR="009B5233" w:rsidRDefault="009B5233" w:rsidP="009B5233">
      <w:pPr>
        <w:pStyle w:val="ListParagraph"/>
        <w:numPr>
          <w:ilvl w:val="2"/>
          <w:numId w:val="9"/>
        </w:numPr>
        <w:jc w:val="both"/>
      </w:pPr>
      <w:r>
        <w:t xml:space="preserve">Amended item </w:t>
      </w:r>
      <w:r w:rsidR="007371CC">
        <w:t>1</w:t>
      </w:r>
      <w:r>
        <w:t xml:space="preserve"> to reflect CDC’s update regarding surface transmission.</w:t>
      </w:r>
      <w:r w:rsidR="00D365CB">
        <w:t xml:space="preserve"> This is the same change made in Service Level B. </w:t>
      </w:r>
    </w:p>
    <w:p w14:paraId="66F69B93" w14:textId="7EA3B357" w:rsidR="009B5233" w:rsidRPr="006134BC" w:rsidRDefault="009B5233" w:rsidP="00CA3C31">
      <w:pPr>
        <w:pStyle w:val="ListParagraph"/>
        <w:numPr>
          <w:ilvl w:val="0"/>
          <w:numId w:val="25"/>
        </w:numPr>
        <w:spacing w:line="254" w:lineRule="auto"/>
      </w:pPr>
      <w:r w:rsidRPr="007D7747">
        <w:t xml:space="preserve">Incoming materials received through delivery will be </w:t>
      </w:r>
      <w:r w:rsidRPr="007D7747">
        <w:rPr>
          <w:strike/>
        </w:rPr>
        <w:t>considered to possibly have COVID-19 present for up to 72 hours and</w:t>
      </w:r>
      <w:r w:rsidRPr="007D7747">
        <w:t xml:space="preserve"> handled as return materials described above.</w:t>
      </w:r>
    </w:p>
    <w:p w14:paraId="3E3DC72B" w14:textId="77777777" w:rsidR="003D66BD" w:rsidRPr="003D66BD" w:rsidRDefault="003D66BD" w:rsidP="003D66BD">
      <w:pPr>
        <w:rPr>
          <w:b/>
          <w:bCs/>
          <w:sz w:val="28"/>
          <w:szCs w:val="28"/>
        </w:rPr>
      </w:pPr>
    </w:p>
    <w:p w14:paraId="6B55A3D8" w14:textId="65B01B67" w:rsidR="00C16703" w:rsidRDefault="00C16703" w:rsidP="00C16703">
      <w:pPr>
        <w:rPr>
          <w:b/>
          <w:bCs/>
          <w:sz w:val="28"/>
          <w:szCs w:val="28"/>
        </w:rPr>
      </w:pPr>
      <w:r w:rsidRPr="003D66BD">
        <w:rPr>
          <w:b/>
          <w:bCs/>
          <w:sz w:val="28"/>
          <w:szCs w:val="28"/>
        </w:rPr>
        <w:t xml:space="preserve">Service Level </w:t>
      </w:r>
      <w:r>
        <w:rPr>
          <w:b/>
          <w:bCs/>
          <w:sz w:val="28"/>
          <w:szCs w:val="28"/>
        </w:rPr>
        <w:t>D</w:t>
      </w:r>
    </w:p>
    <w:p w14:paraId="4F7B80B1" w14:textId="30183914" w:rsidR="00C16703" w:rsidRDefault="00C16703" w:rsidP="00C16703">
      <w:pPr>
        <w:pStyle w:val="ListParagraph"/>
        <w:numPr>
          <w:ilvl w:val="0"/>
          <w:numId w:val="9"/>
        </w:numPr>
        <w:jc w:val="both"/>
      </w:pPr>
      <w:r w:rsidRPr="006134BC">
        <w:t>Includes the updates to service level plan</w:t>
      </w:r>
      <w:r>
        <w:t>s</w:t>
      </w:r>
      <w:r w:rsidRPr="006134BC">
        <w:t xml:space="preserve"> above.</w:t>
      </w:r>
    </w:p>
    <w:p w14:paraId="517BBAF2" w14:textId="77777777" w:rsidR="00C16703" w:rsidRDefault="00C16703" w:rsidP="00C16703">
      <w:pPr>
        <w:rPr>
          <w:b/>
          <w:bCs/>
          <w:sz w:val="28"/>
          <w:szCs w:val="28"/>
        </w:rPr>
      </w:pPr>
    </w:p>
    <w:p w14:paraId="725F7ECD" w14:textId="77777777" w:rsidR="00C16703" w:rsidRDefault="00C16703" w:rsidP="00C16703">
      <w:pPr>
        <w:rPr>
          <w:b/>
          <w:bCs/>
          <w:sz w:val="28"/>
          <w:szCs w:val="28"/>
        </w:rPr>
      </w:pPr>
      <w:r w:rsidRPr="003D66BD">
        <w:rPr>
          <w:b/>
          <w:bCs/>
          <w:sz w:val="28"/>
          <w:szCs w:val="28"/>
        </w:rPr>
        <w:t xml:space="preserve">Service Level </w:t>
      </w:r>
      <w:r>
        <w:rPr>
          <w:b/>
          <w:bCs/>
          <w:sz w:val="28"/>
          <w:szCs w:val="28"/>
        </w:rPr>
        <w:t>E</w:t>
      </w:r>
    </w:p>
    <w:p w14:paraId="2C527501" w14:textId="0C811697" w:rsidR="00C16703" w:rsidRDefault="00C16703" w:rsidP="00C16703">
      <w:pPr>
        <w:pStyle w:val="ListParagraph"/>
        <w:numPr>
          <w:ilvl w:val="0"/>
          <w:numId w:val="9"/>
        </w:numPr>
        <w:jc w:val="both"/>
      </w:pPr>
      <w:r w:rsidRPr="006134BC">
        <w:t>Includes the updates to service level plan</w:t>
      </w:r>
      <w:r>
        <w:t>s</w:t>
      </w:r>
      <w:r w:rsidRPr="006134BC">
        <w:t xml:space="preserve"> above.</w:t>
      </w:r>
    </w:p>
    <w:p w14:paraId="4F4C52EE" w14:textId="05CA82C8" w:rsidR="000B1B80" w:rsidRDefault="000B1B80" w:rsidP="000B1B80">
      <w:pPr>
        <w:pStyle w:val="ListParagraph"/>
        <w:jc w:val="both"/>
      </w:pPr>
    </w:p>
    <w:p w14:paraId="4507D98B" w14:textId="77777777" w:rsidR="00247260" w:rsidRDefault="00247260" w:rsidP="000B1B80">
      <w:pPr>
        <w:pStyle w:val="ListParagraph"/>
        <w:jc w:val="both"/>
      </w:pPr>
    </w:p>
    <w:p w14:paraId="7CD45C67" w14:textId="6DA0C64C" w:rsidR="006C4DFC" w:rsidRPr="00515B92" w:rsidRDefault="006C4DFC" w:rsidP="006C4DFC">
      <w:pPr>
        <w:rPr>
          <w:b/>
          <w:bCs/>
          <w:sz w:val="28"/>
          <w:szCs w:val="28"/>
        </w:rPr>
      </w:pPr>
      <w:r>
        <w:rPr>
          <w:b/>
          <w:bCs/>
          <w:sz w:val="28"/>
          <w:szCs w:val="28"/>
        </w:rPr>
        <w:lastRenderedPageBreak/>
        <w:t>Proactive Infection Plan</w:t>
      </w:r>
    </w:p>
    <w:p w14:paraId="13850513" w14:textId="1ADB280D" w:rsidR="00856BAD" w:rsidRDefault="00095D9E" w:rsidP="00856BAD">
      <w:pPr>
        <w:pStyle w:val="ListParagraph"/>
        <w:numPr>
          <w:ilvl w:val="0"/>
          <w:numId w:val="9"/>
        </w:numPr>
        <w:jc w:val="both"/>
      </w:pPr>
      <w:r>
        <w:t>The following additions were made to clarify procedure around symptomatic employees</w:t>
      </w:r>
      <w:r w:rsidR="006C4DFC" w:rsidRPr="00B45B4B">
        <w:t>.</w:t>
      </w:r>
    </w:p>
    <w:p w14:paraId="649C4486" w14:textId="52744D5A" w:rsidR="0083393A" w:rsidRDefault="000E55F2" w:rsidP="0083393A">
      <w:pPr>
        <w:pStyle w:val="ListParagraph"/>
        <w:numPr>
          <w:ilvl w:val="2"/>
          <w:numId w:val="9"/>
        </w:numPr>
        <w:jc w:val="both"/>
      </w:pPr>
      <w:r w:rsidRPr="000E55F2">
        <w:t>Employees that Test Positive for COVID-19 or Report COVID-19 Symptoms</w:t>
      </w:r>
    </w:p>
    <w:p w14:paraId="329E2F16" w14:textId="0FE69A72" w:rsidR="00856BAD" w:rsidRDefault="00095D9E" w:rsidP="00095D9E">
      <w:pPr>
        <w:pStyle w:val="ListParagraph"/>
        <w:ind w:left="2070"/>
      </w:pPr>
      <w:r>
        <w:t xml:space="preserve">3. </w:t>
      </w:r>
      <w:r w:rsidR="00856BAD">
        <w:t xml:space="preserve">The library director will immediately notify state and local health departments </w:t>
      </w:r>
      <w:r w:rsidR="00856BAD" w:rsidRPr="005F024A">
        <w:rPr>
          <w:highlight w:val="yellow"/>
        </w:rPr>
        <w:t>of any employee that reports testing positive for COVID-19</w:t>
      </w:r>
      <w:r w:rsidR="00856BAD">
        <w:t xml:space="preserve"> and cooperate with contact tracing efforts, including notification of potential contacts, such as workers or visitors who had close contact with the individual, while maintaining confidentiality required by state and federal law and regulations. [</w:t>
      </w:r>
      <w:hyperlink r:id="rId33" w:history="1">
        <w:r w:rsidR="00856BAD" w:rsidRPr="00587775">
          <w:rPr>
            <w:rStyle w:val="Hyperlink"/>
          </w:rPr>
          <w:t>21</w:t>
        </w:r>
      </w:hyperlink>
      <w:r w:rsidR="00856BAD">
        <w:t>]</w:t>
      </w:r>
    </w:p>
    <w:p w14:paraId="5B83B21E" w14:textId="0F4614A0" w:rsidR="000B1B80" w:rsidRDefault="000B1B80" w:rsidP="000B1B80">
      <w:pPr>
        <w:pStyle w:val="ListParagraph"/>
        <w:spacing w:after="138"/>
        <w:ind w:left="2070"/>
        <w:rPr>
          <w:rFonts w:cstheme="minorHAnsi"/>
        </w:rPr>
      </w:pPr>
      <w:r>
        <w:rPr>
          <w:rFonts w:cstheme="minorHAnsi"/>
        </w:rPr>
        <w:t xml:space="preserve">5. </w:t>
      </w:r>
      <w:r w:rsidRPr="009753D2">
        <w:rPr>
          <w:rFonts w:cstheme="minorHAnsi"/>
        </w:rPr>
        <w:t xml:space="preserve">If </w:t>
      </w:r>
      <w:r>
        <w:rPr>
          <w:rFonts w:cstheme="minorHAnsi"/>
        </w:rPr>
        <w:t>an</w:t>
      </w:r>
      <w:r w:rsidRPr="009753D2">
        <w:rPr>
          <w:rFonts w:cstheme="minorHAnsi"/>
        </w:rPr>
        <w:t xml:space="preserve"> employee tests positive for COVID-19 or shows symptoms of COVID-19 </w:t>
      </w:r>
      <w:r>
        <w:rPr>
          <w:rFonts w:cstheme="minorHAnsi"/>
        </w:rPr>
        <w:t>and</w:t>
      </w:r>
      <w:r w:rsidRPr="009753D2">
        <w:rPr>
          <w:rFonts w:cstheme="minorHAnsi"/>
        </w:rPr>
        <w:t xml:space="preserve"> is not tested for COVID-19, they may only return to work after completing a 14 day self-quarantine</w:t>
      </w:r>
      <w:r>
        <w:rPr>
          <w:rFonts w:cstheme="minorHAnsi"/>
        </w:rPr>
        <w:t xml:space="preserve"> </w:t>
      </w:r>
      <w:r w:rsidRPr="00667D18">
        <w:rPr>
          <w:rFonts w:cstheme="minorHAnsi"/>
          <w:highlight w:val="yellow"/>
        </w:rPr>
        <w:t>or testing negative for COVID-19</w:t>
      </w:r>
      <w:r w:rsidRPr="009753D2">
        <w:rPr>
          <w:rFonts w:cstheme="minorHAnsi"/>
        </w:rPr>
        <w:t>. If an employee has had close contact with a person with COVID-19 and is symptomatic, they may only return to work after completing a 14 day self-quarantine</w:t>
      </w:r>
      <w:r>
        <w:rPr>
          <w:rFonts w:cstheme="minorHAnsi"/>
        </w:rPr>
        <w:t xml:space="preserve"> </w:t>
      </w:r>
      <w:r w:rsidRPr="00667D18">
        <w:rPr>
          <w:rFonts w:cstheme="minorHAnsi"/>
          <w:highlight w:val="yellow"/>
        </w:rPr>
        <w:t>or testing negative for COVID-19</w:t>
      </w:r>
      <w:r w:rsidRPr="009753D2">
        <w:rPr>
          <w:rFonts w:cstheme="minorHAnsi"/>
        </w:rPr>
        <w:t>.</w:t>
      </w:r>
      <w:r>
        <w:rPr>
          <w:rFonts w:cstheme="minorHAnsi"/>
        </w:rPr>
        <w:t xml:space="preserve"> </w:t>
      </w:r>
      <w:r>
        <w:t>[</w:t>
      </w:r>
      <w:hyperlink r:id="rId34" w:history="1">
        <w:r w:rsidRPr="00DC0F57">
          <w:rPr>
            <w:rStyle w:val="Hyperlink"/>
          </w:rPr>
          <w:t>24</w:t>
        </w:r>
      </w:hyperlink>
      <w:r>
        <w:t>]</w:t>
      </w:r>
    </w:p>
    <w:p w14:paraId="705AA08D" w14:textId="77777777" w:rsidR="00856BAD" w:rsidRPr="00856BAD" w:rsidRDefault="00856BAD" w:rsidP="000B1B80">
      <w:pPr>
        <w:jc w:val="both"/>
      </w:pPr>
    </w:p>
    <w:p w14:paraId="77494CEC" w14:textId="375D5B51" w:rsidR="00AE2634" w:rsidRPr="00515B92" w:rsidRDefault="00B45B4B" w:rsidP="00515B92">
      <w:pPr>
        <w:rPr>
          <w:b/>
          <w:bCs/>
          <w:sz w:val="28"/>
          <w:szCs w:val="28"/>
        </w:rPr>
      </w:pPr>
      <w:r w:rsidRPr="00515B92">
        <w:rPr>
          <w:b/>
          <w:bCs/>
          <w:sz w:val="28"/>
          <w:szCs w:val="28"/>
        </w:rPr>
        <w:t>Appendix</w:t>
      </w:r>
    </w:p>
    <w:p w14:paraId="7A1CA83F" w14:textId="688681FB" w:rsidR="00B45B4B" w:rsidRPr="00515B92" w:rsidRDefault="00B45B4B" w:rsidP="00B45B4B">
      <w:pPr>
        <w:pStyle w:val="ListParagraph"/>
        <w:numPr>
          <w:ilvl w:val="0"/>
          <w:numId w:val="9"/>
        </w:numPr>
        <w:jc w:val="both"/>
      </w:pPr>
      <w:r w:rsidRPr="00B45B4B">
        <w:t>The following resources were added to the Appendix.</w:t>
      </w:r>
    </w:p>
    <w:p w14:paraId="419ACF8D" w14:textId="77777777" w:rsidR="001152A2" w:rsidRDefault="001152A2" w:rsidP="00460857">
      <w:pPr>
        <w:pStyle w:val="ListParagraph"/>
        <w:numPr>
          <w:ilvl w:val="0"/>
          <w:numId w:val="18"/>
        </w:numPr>
        <w:rPr>
          <w:highlight w:val="yellow"/>
        </w:rPr>
      </w:pPr>
      <w:proofErr w:type="spellStart"/>
      <w:r w:rsidRPr="00B03A86">
        <w:rPr>
          <w:highlight w:val="yellow"/>
        </w:rPr>
        <w:t>REopening</w:t>
      </w:r>
      <w:proofErr w:type="spellEnd"/>
      <w:r w:rsidRPr="00B03A86">
        <w:rPr>
          <w:highlight w:val="yellow"/>
        </w:rPr>
        <w:t xml:space="preserve"> Archives, Libraries, and Museums (REALM) </w:t>
      </w:r>
      <w:hyperlink r:id="rId35" w:history="1">
        <w:r w:rsidRPr="00B03A86">
          <w:rPr>
            <w:rStyle w:val="Hyperlink"/>
            <w:highlight w:val="yellow"/>
          </w:rPr>
          <w:t>https://www.oclc.org/realm/home.html</w:t>
        </w:r>
      </w:hyperlink>
      <w:r w:rsidRPr="00B03A86">
        <w:rPr>
          <w:highlight w:val="yellow"/>
        </w:rPr>
        <w:t xml:space="preserve"> </w:t>
      </w:r>
    </w:p>
    <w:p w14:paraId="6B191D0D" w14:textId="77777777" w:rsidR="001152A2" w:rsidRPr="00C82E90" w:rsidRDefault="001152A2" w:rsidP="00460857">
      <w:pPr>
        <w:pStyle w:val="ListParagraph"/>
        <w:numPr>
          <w:ilvl w:val="0"/>
          <w:numId w:val="18"/>
        </w:numPr>
        <w:rPr>
          <w:highlight w:val="yellow"/>
        </w:rPr>
      </w:pPr>
      <w:r w:rsidRPr="00FB18C1">
        <w:rPr>
          <w:highlight w:val="yellow"/>
        </w:rPr>
        <w:t xml:space="preserve">COVID-19 Employer Information for Office Buildings, </w:t>
      </w:r>
      <w:r w:rsidRPr="00FB18C1">
        <w:rPr>
          <w:i/>
          <w:iCs/>
          <w:highlight w:val="yellow"/>
        </w:rPr>
        <w:t xml:space="preserve">Centers for Disease </w:t>
      </w:r>
      <w:r w:rsidRPr="00C82E90">
        <w:rPr>
          <w:i/>
          <w:iCs/>
          <w:highlight w:val="yellow"/>
        </w:rPr>
        <w:t>Control and Prevention</w:t>
      </w:r>
      <w:r w:rsidRPr="00C82E90">
        <w:rPr>
          <w:highlight w:val="yellow"/>
        </w:rPr>
        <w:t xml:space="preserve"> </w:t>
      </w:r>
      <w:hyperlink r:id="rId36" w:history="1">
        <w:r w:rsidRPr="00C82E90">
          <w:rPr>
            <w:rStyle w:val="Hyperlink"/>
            <w:highlight w:val="yellow"/>
          </w:rPr>
          <w:t>https://www.cdc.gov/coronavirus/2019-ncov/community/office-buildings.html</w:t>
        </w:r>
      </w:hyperlink>
      <w:r w:rsidRPr="00C82E90">
        <w:rPr>
          <w:highlight w:val="yellow"/>
        </w:rPr>
        <w:t xml:space="preserve"> </w:t>
      </w:r>
    </w:p>
    <w:p w14:paraId="3D7C6AD8" w14:textId="77777777" w:rsidR="001152A2" w:rsidRPr="00C82E90" w:rsidRDefault="001152A2" w:rsidP="00460857">
      <w:pPr>
        <w:pStyle w:val="ListParagraph"/>
        <w:numPr>
          <w:ilvl w:val="0"/>
          <w:numId w:val="18"/>
        </w:numPr>
        <w:rPr>
          <w:highlight w:val="yellow"/>
        </w:rPr>
      </w:pPr>
      <w:r w:rsidRPr="00C82E90">
        <w:rPr>
          <w:highlight w:val="yellow"/>
        </w:rPr>
        <w:t xml:space="preserve">ASHRAE Position Document on Infectious Aerosols, </w:t>
      </w:r>
      <w:r w:rsidRPr="00C82E90">
        <w:rPr>
          <w:i/>
          <w:iCs/>
          <w:highlight w:val="yellow"/>
        </w:rPr>
        <w:t>American Society of Heating, Refrigerating and Air-Conditioning Engineers</w:t>
      </w:r>
      <w:r w:rsidRPr="00C82E90">
        <w:rPr>
          <w:highlight w:val="yellow"/>
        </w:rPr>
        <w:t xml:space="preserve"> </w:t>
      </w:r>
      <w:hyperlink r:id="rId37" w:history="1">
        <w:r w:rsidRPr="00C82E90">
          <w:rPr>
            <w:rStyle w:val="Hyperlink"/>
            <w:highlight w:val="yellow"/>
          </w:rPr>
          <w:t>https://www.ashrae.org/file%20library/about/position%20documents/pd_infectiousaerosols_2020.pdf</w:t>
        </w:r>
      </w:hyperlink>
      <w:r w:rsidRPr="00C82E90">
        <w:rPr>
          <w:highlight w:val="yellow"/>
        </w:rPr>
        <w:t xml:space="preserve"> </w:t>
      </w:r>
    </w:p>
    <w:p w14:paraId="691BA254" w14:textId="77777777" w:rsidR="001152A2" w:rsidRDefault="001152A2" w:rsidP="00460857">
      <w:pPr>
        <w:pStyle w:val="ListParagraph"/>
        <w:numPr>
          <w:ilvl w:val="0"/>
          <w:numId w:val="18"/>
        </w:numPr>
        <w:rPr>
          <w:highlight w:val="yellow"/>
        </w:rPr>
      </w:pPr>
      <w:r w:rsidRPr="00C82E90">
        <w:rPr>
          <w:highlight w:val="yellow"/>
        </w:rPr>
        <w:t xml:space="preserve">Title: Section 66-3.2 - Face-Coverings, </w:t>
      </w:r>
      <w:r w:rsidRPr="00C82E90">
        <w:rPr>
          <w:i/>
          <w:iCs/>
          <w:highlight w:val="yellow"/>
        </w:rPr>
        <w:t>New York Codes, Rules and Regulations</w:t>
      </w:r>
      <w:r w:rsidRPr="00C82E90">
        <w:rPr>
          <w:highlight w:val="yellow"/>
        </w:rPr>
        <w:t xml:space="preserve"> </w:t>
      </w:r>
      <w:hyperlink r:id="rId38" w:history="1">
        <w:r w:rsidRPr="00C82E90">
          <w:rPr>
            <w:rStyle w:val="Hyperlink"/>
            <w:highlight w:val="yellow"/>
          </w:rPr>
          <w:t>https://regs.health.ny.gov/volume-1a-title-10/content/section-66-32-face-coverings</w:t>
        </w:r>
      </w:hyperlink>
      <w:r w:rsidRPr="00C82E90">
        <w:rPr>
          <w:highlight w:val="yellow"/>
        </w:rPr>
        <w:t xml:space="preserve"> </w:t>
      </w:r>
    </w:p>
    <w:p w14:paraId="642F63C1" w14:textId="77777777" w:rsidR="001152A2" w:rsidRPr="00B83237" w:rsidRDefault="001152A2" w:rsidP="00460857">
      <w:pPr>
        <w:pStyle w:val="ListParagraph"/>
        <w:numPr>
          <w:ilvl w:val="0"/>
          <w:numId w:val="18"/>
        </w:numPr>
        <w:rPr>
          <w:highlight w:val="yellow"/>
        </w:rPr>
      </w:pPr>
      <w:r w:rsidRPr="00B83237">
        <w:rPr>
          <w:highlight w:val="yellow"/>
        </w:rPr>
        <w:t xml:space="preserve">Advice from the Oregon Health Authority (OHA) on materials handling in libraries </w:t>
      </w:r>
      <w:r w:rsidRPr="00B83237">
        <w:rPr>
          <w:i/>
          <w:iCs/>
          <w:highlight w:val="yellow"/>
        </w:rPr>
        <w:t>State Library of Oregon</w:t>
      </w:r>
      <w:r w:rsidRPr="00B83237">
        <w:rPr>
          <w:highlight w:val="yellow"/>
        </w:rPr>
        <w:t xml:space="preserve"> </w:t>
      </w:r>
      <w:hyperlink r:id="rId39" w:history="1">
        <w:r w:rsidRPr="00B83237">
          <w:rPr>
            <w:rStyle w:val="Hyperlink"/>
            <w:highlight w:val="yellow"/>
          </w:rPr>
          <w:t>https://libguides.osl.state.or.us/ld.php?content_id=57803303</w:t>
        </w:r>
      </w:hyperlink>
      <w:r w:rsidRPr="00B83237">
        <w:rPr>
          <w:highlight w:val="yellow"/>
        </w:rPr>
        <w:t xml:space="preserve"> </w:t>
      </w:r>
    </w:p>
    <w:p w14:paraId="788C67E5" w14:textId="77777777" w:rsidR="00B45B4B" w:rsidRPr="006134BC" w:rsidRDefault="00B45B4B" w:rsidP="00AE2634">
      <w:pPr>
        <w:jc w:val="both"/>
      </w:pPr>
    </w:p>
    <w:p w14:paraId="353FB574" w14:textId="77777777" w:rsidR="003D66BD" w:rsidRPr="003D66BD" w:rsidRDefault="003D66BD" w:rsidP="003D66BD">
      <w:pPr>
        <w:rPr>
          <w:rFonts w:eastAsiaTheme="minorEastAsia"/>
        </w:rPr>
      </w:pPr>
    </w:p>
    <w:sectPr w:rsidR="003D66BD" w:rsidRPr="003D66BD" w:rsidSect="00515B92">
      <w:footerReference w:type="default" r:id="rId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8A3DB" w14:textId="77777777" w:rsidR="0006441B" w:rsidRDefault="0006441B" w:rsidP="008F2FCB">
      <w:pPr>
        <w:spacing w:after="0" w:line="240" w:lineRule="auto"/>
      </w:pPr>
      <w:r>
        <w:separator/>
      </w:r>
    </w:p>
  </w:endnote>
  <w:endnote w:type="continuationSeparator" w:id="0">
    <w:p w14:paraId="21554871" w14:textId="77777777" w:rsidR="0006441B" w:rsidRDefault="0006441B" w:rsidP="008F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C47C8" w14:textId="1F227289" w:rsidR="00C0664F" w:rsidRDefault="0038685D">
    <w:pPr>
      <w:pStyle w:val="Footer"/>
    </w:pPr>
    <w:r>
      <w:rPr>
        <w:i/>
        <w:iCs/>
      </w:rPr>
      <w:t>Prepared by the Mid-Hudson Library System</w:t>
    </w:r>
    <w:r>
      <w:rPr>
        <w:i/>
        <w:iCs/>
      </w:rPr>
      <w:tab/>
    </w:r>
    <w:r>
      <w:rPr>
        <w:i/>
        <w:iCs/>
      </w:rPr>
      <w:tab/>
    </w:r>
    <w:r w:rsidR="00382CB6">
      <w:rPr>
        <w:i/>
        <w:iCs/>
      </w:rPr>
      <w:t xml:space="preserve">                                                                          </w:t>
    </w:r>
    <w:r w:rsidR="00C0664F" w:rsidRPr="002E6855">
      <w:rPr>
        <w:i/>
        <w:iCs/>
      </w:rPr>
      <w:t xml:space="preserve">Updated </w:t>
    </w:r>
    <w:r w:rsidR="0070638B">
      <w:rPr>
        <w:i/>
        <w:iCs/>
      </w:rPr>
      <w:t>October 20</w:t>
    </w:r>
    <w:r w:rsidR="00C0664F" w:rsidRPr="002E6855">
      <w:rPr>
        <w:i/>
        <w:iCs/>
      </w:rPr>
      <w:t>, 2</w:t>
    </w:r>
    <w:r w:rsidR="00C0664F">
      <w:rPr>
        <w:i/>
        <w:iCs/>
      </w:rPr>
      <w:t>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D9281" w14:textId="77777777" w:rsidR="0006441B" w:rsidRDefault="0006441B" w:rsidP="008F2FCB">
      <w:pPr>
        <w:spacing w:after="0" w:line="240" w:lineRule="auto"/>
      </w:pPr>
      <w:r>
        <w:separator/>
      </w:r>
    </w:p>
  </w:footnote>
  <w:footnote w:type="continuationSeparator" w:id="0">
    <w:p w14:paraId="2B5E0A02" w14:textId="77777777" w:rsidR="0006441B" w:rsidRDefault="0006441B" w:rsidP="008F2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B30"/>
    <w:multiLevelType w:val="hybridMultilevel"/>
    <w:tmpl w:val="6C52E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BA1C89"/>
    <w:multiLevelType w:val="hybridMultilevel"/>
    <w:tmpl w:val="F9F60EB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EE33C99"/>
    <w:multiLevelType w:val="hybridMultilevel"/>
    <w:tmpl w:val="BF5CBB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AA67C9A"/>
    <w:multiLevelType w:val="hybridMultilevel"/>
    <w:tmpl w:val="8C4A5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start w:val="1"/>
      <w:numFmt w:val="bullet"/>
      <w:lvlText w:val="o"/>
      <w:lvlJc w:val="left"/>
      <w:pPr>
        <w:ind w:left="279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53A31"/>
    <w:multiLevelType w:val="hybridMultilevel"/>
    <w:tmpl w:val="E9CE3024"/>
    <w:lvl w:ilvl="0" w:tplc="346A39D4">
      <w:start w:val="10"/>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5" w15:restartNumberingAfterBreak="0">
    <w:nsid w:val="28172B17"/>
    <w:multiLevelType w:val="hybridMultilevel"/>
    <w:tmpl w:val="81EE2D10"/>
    <w:lvl w:ilvl="0" w:tplc="EDD6E544">
      <w:start w:val="37"/>
      <w:numFmt w:val="decimal"/>
      <w:lvlText w:val="%1."/>
      <w:lvlJc w:val="left"/>
      <w:pPr>
        <w:ind w:left="1440" w:hanging="360"/>
      </w:pPr>
      <w:rPr>
        <w:rFonts w:hint="default"/>
      </w:rPr>
    </w:lvl>
    <w:lvl w:ilvl="1" w:tplc="24542A02">
      <w:start w:val="1"/>
      <w:numFmt w:val="lowerLetter"/>
      <w:lvlText w:val="%2)"/>
      <w:lvlJc w:val="left"/>
      <w:pPr>
        <w:ind w:left="1800" w:hanging="360"/>
      </w:pPr>
      <w:rPr>
        <w:rFonts w:hint="default"/>
      </w:rPr>
    </w:lvl>
    <w:lvl w:ilvl="2" w:tplc="E9FC009C">
      <w:start w:val="1"/>
      <w:numFmt w:val="lowerRoman"/>
      <w:lvlText w:val="%3)"/>
      <w:lvlJc w:val="left"/>
      <w:pPr>
        <w:ind w:left="2160" w:hanging="360"/>
      </w:pPr>
      <w:rPr>
        <w:rFonts w:hint="default"/>
      </w:rPr>
    </w:lvl>
    <w:lvl w:ilvl="3" w:tplc="CC80EBF0">
      <w:start w:val="1"/>
      <w:numFmt w:val="decimal"/>
      <w:lvlText w:val="(%4)"/>
      <w:lvlJc w:val="left"/>
      <w:pPr>
        <w:ind w:left="2520" w:hanging="360"/>
      </w:pPr>
      <w:rPr>
        <w:rFonts w:hint="default"/>
      </w:rPr>
    </w:lvl>
    <w:lvl w:ilvl="4" w:tplc="EE5CE004">
      <w:start w:val="1"/>
      <w:numFmt w:val="lowerLetter"/>
      <w:lvlText w:val="(%5)"/>
      <w:lvlJc w:val="left"/>
      <w:pPr>
        <w:ind w:left="2880" w:hanging="360"/>
      </w:pPr>
      <w:rPr>
        <w:rFonts w:hint="default"/>
      </w:rPr>
    </w:lvl>
    <w:lvl w:ilvl="5" w:tplc="9326B4FA">
      <w:start w:val="1"/>
      <w:numFmt w:val="lowerRoman"/>
      <w:lvlText w:val="(%6)"/>
      <w:lvlJc w:val="left"/>
      <w:pPr>
        <w:ind w:left="3240" w:hanging="360"/>
      </w:pPr>
      <w:rPr>
        <w:rFonts w:hint="default"/>
      </w:rPr>
    </w:lvl>
    <w:lvl w:ilvl="6" w:tplc="507E78BA">
      <w:start w:val="1"/>
      <w:numFmt w:val="decimal"/>
      <w:lvlText w:val="%7."/>
      <w:lvlJc w:val="left"/>
      <w:pPr>
        <w:ind w:left="3600" w:hanging="360"/>
      </w:pPr>
      <w:rPr>
        <w:rFonts w:hint="default"/>
      </w:rPr>
    </w:lvl>
    <w:lvl w:ilvl="7" w:tplc="FA02BA18">
      <w:start w:val="1"/>
      <w:numFmt w:val="lowerLetter"/>
      <w:lvlText w:val="%8."/>
      <w:lvlJc w:val="left"/>
      <w:pPr>
        <w:ind w:left="3960" w:hanging="360"/>
      </w:pPr>
      <w:rPr>
        <w:rFonts w:hint="default"/>
      </w:rPr>
    </w:lvl>
    <w:lvl w:ilvl="8" w:tplc="AE44EB06">
      <w:start w:val="1"/>
      <w:numFmt w:val="lowerRoman"/>
      <w:lvlText w:val="%9."/>
      <w:lvlJc w:val="left"/>
      <w:pPr>
        <w:ind w:left="4320" w:hanging="360"/>
      </w:pPr>
      <w:rPr>
        <w:rFonts w:hint="default"/>
      </w:rPr>
    </w:lvl>
  </w:abstractNum>
  <w:abstractNum w:abstractNumId="6" w15:restartNumberingAfterBreak="0">
    <w:nsid w:val="2D1B2187"/>
    <w:multiLevelType w:val="hybridMultilevel"/>
    <w:tmpl w:val="615EB284"/>
    <w:lvl w:ilvl="0" w:tplc="E3943A2E">
      <w:start w:val="5"/>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2D9156D0"/>
    <w:multiLevelType w:val="hybridMultilevel"/>
    <w:tmpl w:val="1CF082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8" w15:restartNumberingAfterBreak="0">
    <w:nsid w:val="30B41FA4"/>
    <w:multiLevelType w:val="hybridMultilevel"/>
    <w:tmpl w:val="0DCCAB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31C75586"/>
    <w:multiLevelType w:val="hybridMultilevel"/>
    <w:tmpl w:val="5ED6C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E21F21"/>
    <w:multiLevelType w:val="hybridMultilevel"/>
    <w:tmpl w:val="C4B841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1" w15:restartNumberingAfterBreak="0">
    <w:nsid w:val="3C8C07DB"/>
    <w:multiLevelType w:val="hybridMultilevel"/>
    <w:tmpl w:val="DE924B48"/>
    <w:lvl w:ilvl="0" w:tplc="BA362FBE">
      <w:start w:val="26"/>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A408D4"/>
    <w:multiLevelType w:val="hybridMultilevel"/>
    <w:tmpl w:val="D78A83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FD935F2"/>
    <w:multiLevelType w:val="hybridMultilevel"/>
    <w:tmpl w:val="4CD88F8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A3765E6"/>
    <w:multiLevelType w:val="hybridMultilevel"/>
    <w:tmpl w:val="4BA8C3F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4F3E42BD"/>
    <w:multiLevelType w:val="hybridMultilevel"/>
    <w:tmpl w:val="0409001D"/>
    <w:lvl w:ilvl="0" w:tplc="51324780">
      <w:start w:val="1"/>
      <w:numFmt w:val="decimal"/>
      <w:lvlText w:val="%1)"/>
      <w:lvlJc w:val="left"/>
      <w:pPr>
        <w:ind w:left="1080" w:hanging="360"/>
      </w:pPr>
    </w:lvl>
    <w:lvl w:ilvl="1" w:tplc="8970EF94">
      <w:start w:val="1"/>
      <w:numFmt w:val="lowerLetter"/>
      <w:lvlText w:val="%2)"/>
      <w:lvlJc w:val="left"/>
      <w:pPr>
        <w:ind w:left="1440" w:hanging="360"/>
      </w:pPr>
    </w:lvl>
    <w:lvl w:ilvl="2" w:tplc="86144D04">
      <w:start w:val="1"/>
      <w:numFmt w:val="lowerRoman"/>
      <w:lvlText w:val="%3)"/>
      <w:lvlJc w:val="left"/>
      <w:pPr>
        <w:ind w:left="1800" w:hanging="360"/>
      </w:pPr>
    </w:lvl>
    <w:lvl w:ilvl="3" w:tplc="01B001D8">
      <w:start w:val="1"/>
      <w:numFmt w:val="decimal"/>
      <w:lvlText w:val="(%4)"/>
      <w:lvlJc w:val="left"/>
      <w:pPr>
        <w:ind w:left="2160" w:hanging="360"/>
      </w:pPr>
    </w:lvl>
    <w:lvl w:ilvl="4" w:tplc="00FE8046">
      <w:start w:val="1"/>
      <w:numFmt w:val="lowerLetter"/>
      <w:lvlText w:val="(%5)"/>
      <w:lvlJc w:val="left"/>
      <w:pPr>
        <w:ind w:left="2520" w:hanging="360"/>
      </w:pPr>
    </w:lvl>
    <w:lvl w:ilvl="5" w:tplc="891C582A">
      <w:start w:val="1"/>
      <w:numFmt w:val="lowerRoman"/>
      <w:lvlText w:val="(%6)"/>
      <w:lvlJc w:val="left"/>
      <w:pPr>
        <w:ind w:left="2880" w:hanging="360"/>
      </w:pPr>
    </w:lvl>
    <w:lvl w:ilvl="6" w:tplc="9D983CAA">
      <w:start w:val="1"/>
      <w:numFmt w:val="decimal"/>
      <w:lvlText w:val="%7."/>
      <w:lvlJc w:val="left"/>
      <w:pPr>
        <w:ind w:left="3240" w:hanging="360"/>
      </w:pPr>
    </w:lvl>
    <w:lvl w:ilvl="7" w:tplc="C694B454">
      <w:start w:val="1"/>
      <w:numFmt w:val="lowerLetter"/>
      <w:lvlText w:val="%8."/>
      <w:lvlJc w:val="left"/>
      <w:pPr>
        <w:ind w:left="3600" w:hanging="360"/>
      </w:pPr>
    </w:lvl>
    <w:lvl w:ilvl="8" w:tplc="A20C4D04">
      <w:start w:val="1"/>
      <w:numFmt w:val="lowerRoman"/>
      <w:lvlText w:val="%9."/>
      <w:lvlJc w:val="left"/>
      <w:pPr>
        <w:ind w:left="3960" w:hanging="360"/>
      </w:pPr>
    </w:lvl>
  </w:abstractNum>
  <w:abstractNum w:abstractNumId="16" w15:restartNumberingAfterBreak="0">
    <w:nsid w:val="576051B2"/>
    <w:multiLevelType w:val="hybridMultilevel"/>
    <w:tmpl w:val="BF5CBBE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57F807FB"/>
    <w:multiLevelType w:val="hybridMultilevel"/>
    <w:tmpl w:val="BDCCF1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923291B"/>
    <w:multiLevelType w:val="hybridMultilevel"/>
    <w:tmpl w:val="6CF6853E"/>
    <w:lvl w:ilvl="0" w:tplc="87C4ECAE">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15:restartNumberingAfterBreak="0">
    <w:nsid w:val="6ABC0A51"/>
    <w:multiLevelType w:val="hybridMultilevel"/>
    <w:tmpl w:val="CBE8FC74"/>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20" w15:restartNumberingAfterBreak="0">
    <w:nsid w:val="77374FC3"/>
    <w:multiLevelType w:val="hybridMultilevel"/>
    <w:tmpl w:val="3F783E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10"/>
  </w:num>
  <w:num w:numId="5">
    <w:abstractNumId w:val="7"/>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19"/>
  </w:num>
  <w:num w:numId="17">
    <w:abstractNumId w:val="15"/>
  </w:num>
  <w:num w:numId="18">
    <w:abstractNumId w:val="5"/>
  </w:num>
  <w:num w:numId="19">
    <w:abstractNumId w:val="13"/>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4"/>
  </w:num>
  <w:num w:numId="22">
    <w:abstractNumId w:val="20"/>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17"/>
    <w:lvlOverride w:ilvl="0">
      <w:startOverride w:val="1"/>
    </w:lvlOverride>
    <w:lvlOverride w:ilvl="1"/>
    <w:lvlOverride w:ilvl="2"/>
    <w:lvlOverride w:ilvl="3"/>
    <w:lvlOverride w:ilvl="4"/>
    <w:lvlOverride w:ilvl="5"/>
    <w:lvlOverride w:ilvl="6"/>
    <w:lvlOverride w:ilvl="7"/>
    <w:lvlOverride w:ilv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E4"/>
    <w:rsid w:val="000124F7"/>
    <w:rsid w:val="000218BC"/>
    <w:rsid w:val="0004034E"/>
    <w:rsid w:val="000620C3"/>
    <w:rsid w:val="0006441B"/>
    <w:rsid w:val="00095D9E"/>
    <w:rsid w:val="00097C4A"/>
    <w:rsid w:val="000B1B80"/>
    <w:rsid w:val="000D7655"/>
    <w:rsid w:val="000E55F2"/>
    <w:rsid w:val="000F0F94"/>
    <w:rsid w:val="001152A2"/>
    <w:rsid w:val="00122C7E"/>
    <w:rsid w:val="0012335A"/>
    <w:rsid w:val="00151DDE"/>
    <w:rsid w:val="001A0C84"/>
    <w:rsid w:val="001B0C83"/>
    <w:rsid w:val="001D36D5"/>
    <w:rsid w:val="001E2927"/>
    <w:rsid w:val="00224722"/>
    <w:rsid w:val="00226206"/>
    <w:rsid w:val="002354F3"/>
    <w:rsid w:val="00247260"/>
    <w:rsid w:val="0025214B"/>
    <w:rsid w:val="002679E0"/>
    <w:rsid w:val="002750C9"/>
    <w:rsid w:val="00290018"/>
    <w:rsid w:val="00296486"/>
    <w:rsid w:val="002E1102"/>
    <w:rsid w:val="00335A12"/>
    <w:rsid w:val="003422DB"/>
    <w:rsid w:val="00350431"/>
    <w:rsid w:val="00360617"/>
    <w:rsid w:val="00365E77"/>
    <w:rsid w:val="00382CB6"/>
    <w:rsid w:val="003846E9"/>
    <w:rsid w:val="0038685D"/>
    <w:rsid w:val="003949C6"/>
    <w:rsid w:val="00396B9A"/>
    <w:rsid w:val="003D66BD"/>
    <w:rsid w:val="00460857"/>
    <w:rsid w:val="0047470A"/>
    <w:rsid w:val="00481EE4"/>
    <w:rsid w:val="004A2ED6"/>
    <w:rsid w:val="004A6A60"/>
    <w:rsid w:val="00507713"/>
    <w:rsid w:val="00515B92"/>
    <w:rsid w:val="005239F1"/>
    <w:rsid w:val="00566931"/>
    <w:rsid w:val="005730F8"/>
    <w:rsid w:val="0057456B"/>
    <w:rsid w:val="005C2040"/>
    <w:rsid w:val="005D0946"/>
    <w:rsid w:val="005E2B0D"/>
    <w:rsid w:val="005F3BDE"/>
    <w:rsid w:val="005F5E6F"/>
    <w:rsid w:val="006134BC"/>
    <w:rsid w:val="00646C57"/>
    <w:rsid w:val="00654308"/>
    <w:rsid w:val="006B2F53"/>
    <w:rsid w:val="006B501D"/>
    <w:rsid w:val="006C4DFC"/>
    <w:rsid w:val="007025B7"/>
    <w:rsid w:val="00705664"/>
    <w:rsid w:val="0070638B"/>
    <w:rsid w:val="007371CC"/>
    <w:rsid w:val="00745EA0"/>
    <w:rsid w:val="007575C7"/>
    <w:rsid w:val="007652A9"/>
    <w:rsid w:val="00775AD7"/>
    <w:rsid w:val="00784F51"/>
    <w:rsid w:val="007D7747"/>
    <w:rsid w:val="007E5C93"/>
    <w:rsid w:val="007F1703"/>
    <w:rsid w:val="00801AAB"/>
    <w:rsid w:val="0083393A"/>
    <w:rsid w:val="008526C5"/>
    <w:rsid w:val="00856BAD"/>
    <w:rsid w:val="0087661D"/>
    <w:rsid w:val="008C2603"/>
    <w:rsid w:val="008E7F3A"/>
    <w:rsid w:val="008F2FCB"/>
    <w:rsid w:val="00922C8A"/>
    <w:rsid w:val="00993690"/>
    <w:rsid w:val="009B5233"/>
    <w:rsid w:val="009B7CA7"/>
    <w:rsid w:val="009C1156"/>
    <w:rsid w:val="009D34AF"/>
    <w:rsid w:val="009E16F6"/>
    <w:rsid w:val="00A02AB1"/>
    <w:rsid w:val="00A130CF"/>
    <w:rsid w:val="00A17AEA"/>
    <w:rsid w:val="00A40F95"/>
    <w:rsid w:val="00A47223"/>
    <w:rsid w:val="00A75F57"/>
    <w:rsid w:val="00A84747"/>
    <w:rsid w:val="00A94A8F"/>
    <w:rsid w:val="00AA68C0"/>
    <w:rsid w:val="00AE2634"/>
    <w:rsid w:val="00B45B4B"/>
    <w:rsid w:val="00B72B96"/>
    <w:rsid w:val="00BA319E"/>
    <w:rsid w:val="00BC53B7"/>
    <w:rsid w:val="00BD29E2"/>
    <w:rsid w:val="00BE0904"/>
    <w:rsid w:val="00C0664F"/>
    <w:rsid w:val="00C16703"/>
    <w:rsid w:val="00C83811"/>
    <w:rsid w:val="00C84E36"/>
    <w:rsid w:val="00CA3C31"/>
    <w:rsid w:val="00CB0EF0"/>
    <w:rsid w:val="00D10344"/>
    <w:rsid w:val="00D365CB"/>
    <w:rsid w:val="00DC3DD6"/>
    <w:rsid w:val="00DC4674"/>
    <w:rsid w:val="00E01A05"/>
    <w:rsid w:val="00E30979"/>
    <w:rsid w:val="00E37DC4"/>
    <w:rsid w:val="00EC700E"/>
    <w:rsid w:val="00F201F6"/>
    <w:rsid w:val="00F44F9D"/>
    <w:rsid w:val="00F97A07"/>
    <w:rsid w:val="00F97ECD"/>
    <w:rsid w:val="00FF5DE6"/>
    <w:rsid w:val="115B15E2"/>
    <w:rsid w:val="1368C453"/>
    <w:rsid w:val="188CD5E1"/>
    <w:rsid w:val="26DF42E1"/>
    <w:rsid w:val="2ED60E6E"/>
    <w:rsid w:val="3231D938"/>
    <w:rsid w:val="48DC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5F30"/>
  <w15:chartTrackingRefBased/>
  <w15:docId w15:val="{148827FA-A0B8-433B-A200-71A674E2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EE4"/>
    <w:pPr>
      <w:ind w:left="720"/>
      <w:contextualSpacing/>
    </w:pPr>
  </w:style>
  <w:style w:type="paragraph" w:styleId="BalloonText">
    <w:name w:val="Balloon Text"/>
    <w:basedOn w:val="Normal"/>
    <w:link w:val="BalloonTextChar"/>
    <w:uiPriority w:val="99"/>
    <w:semiHidden/>
    <w:unhideWhenUsed/>
    <w:rsid w:val="00481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EE4"/>
    <w:rPr>
      <w:rFonts w:ascii="Segoe UI" w:hAnsi="Segoe UI" w:cs="Segoe UI"/>
      <w:sz w:val="18"/>
      <w:szCs w:val="18"/>
    </w:rPr>
  </w:style>
  <w:style w:type="character" w:styleId="Hyperlink">
    <w:name w:val="Hyperlink"/>
    <w:basedOn w:val="DefaultParagraphFont"/>
    <w:uiPriority w:val="99"/>
    <w:unhideWhenUsed/>
    <w:rsid w:val="00481EE4"/>
    <w:rPr>
      <w:color w:val="0563C1" w:themeColor="hyperlink"/>
      <w:u w:val="single"/>
    </w:rPr>
  </w:style>
  <w:style w:type="character" w:styleId="UnresolvedMention">
    <w:name w:val="Unresolved Mention"/>
    <w:basedOn w:val="DefaultParagraphFont"/>
    <w:uiPriority w:val="99"/>
    <w:semiHidden/>
    <w:unhideWhenUsed/>
    <w:rsid w:val="003D66BD"/>
    <w:rPr>
      <w:color w:val="605E5C"/>
      <w:shd w:val="clear" w:color="auto" w:fill="E1DFDD"/>
    </w:rPr>
  </w:style>
  <w:style w:type="paragraph" w:styleId="Header">
    <w:name w:val="header"/>
    <w:basedOn w:val="Normal"/>
    <w:link w:val="HeaderChar"/>
    <w:uiPriority w:val="99"/>
    <w:unhideWhenUsed/>
    <w:rsid w:val="008F2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FCB"/>
  </w:style>
  <w:style w:type="paragraph" w:styleId="Footer">
    <w:name w:val="footer"/>
    <w:basedOn w:val="Normal"/>
    <w:link w:val="FooterChar"/>
    <w:uiPriority w:val="99"/>
    <w:unhideWhenUsed/>
    <w:rsid w:val="008F2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FCB"/>
  </w:style>
  <w:style w:type="character" w:styleId="PageNumber">
    <w:name w:val="page number"/>
    <w:basedOn w:val="DefaultParagraphFont"/>
    <w:uiPriority w:val="99"/>
    <w:semiHidden/>
    <w:unhideWhenUsed/>
    <w:rsid w:val="00C0664F"/>
  </w:style>
  <w:style w:type="character" w:styleId="FollowedHyperlink">
    <w:name w:val="FollowedHyperlink"/>
    <w:basedOn w:val="DefaultParagraphFont"/>
    <w:uiPriority w:val="99"/>
    <w:semiHidden/>
    <w:unhideWhenUsed/>
    <w:rsid w:val="00A94A8F"/>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81219">
      <w:bodyDiv w:val="1"/>
      <w:marLeft w:val="0"/>
      <w:marRight w:val="0"/>
      <w:marTop w:val="0"/>
      <w:marBottom w:val="0"/>
      <w:divBdr>
        <w:top w:val="none" w:sz="0" w:space="0" w:color="auto"/>
        <w:left w:val="none" w:sz="0" w:space="0" w:color="auto"/>
        <w:bottom w:val="none" w:sz="0" w:space="0" w:color="auto"/>
        <w:right w:val="none" w:sz="0" w:space="0" w:color="auto"/>
      </w:divBdr>
    </w:div>
    <w:div w:id="181091071">
      <w:bodyDiv w:val="1"/>
      <w:marLeft w:val="0"/>
      <w:marRight w:val="0"/>
      <w:marTop w:val="0"/>
      <w:marBottom w:val="0"/>
      <w:divBdr>
        <w:top w:val="none" w:sz="0" w:space="0" w:color="auto"/>
        <w:left w:val="none" w:sz="0" w:space="0" w:color="auto"/>
        <w:bottom w:val="none" w:sz="0" w:space="0" w:color="auto"/>
        <w:right w:val="none" w:sz="0" w:space="0" w:color="auto"/>
      </w:divBdr>
    </w:div>
    <w:div w:id="218052899">
      <w:bodyDiv w:val="1"/>
      <w:marLeft w:val="0"/>
      <w:marRight w:val="0"/>
      <w:marTop w:val="0"/>
      <w:marBottom w:val="0"/>
      <w:divBdr>
        <w:top w:val="none" w:sz="0" w:space="0" w:color="auto"/>
        <w:left w:val="none" w:sz="0" w:space="0" w:color="auto"/>
        <w:bottom w:val="none" w:sz="0" w:space="0" w:color="auto"/>
        <w:right w:val="none" w:sz="0" w:space="0" w:color="auto"/>
      </w:divBdr>
    </w:div>
    <w:div w:id="599220690">
      <w:bodyDiv w:val="1"/>
      <w:marLeft w:val="0"/>
      <w:marRight w:val="0"/>
      <w:marTop w:val="0"/>
      <w:marBottom w:val="0"/>
      <w:divBdr>
        <w:top w:val="none" w:sz="0" w:space="0" w:color="auto"/>
        <w:left w:val="none" w:sz="0" w:space="0" w:color="auto"/>
        <w:bottom w:val="none" w:sz="0" w:space="0" w:color="auto"/>
        <w:right w:val="none" w:sz="0" w:space="0" w:color="auto"/>
      </w:divBdr>
    </w:div>
    <w:div w:id="628708758">
      <w:bodyDiv w:val="1"/>
      <w:marLeft w:val="0"/>
      <w:marRight w:val="0"/>
      <w:marTop w:val="0"/>
      <w:marBottom w:val="0"/>
      <w:divBdr>
        <w:top w:val="none" w:sz="0" w:space="0" w:color="auto"/>
        <w:left w:val="none" w:sz="0" w:space="0" w:color="auto"/>
        <w:bottom w:val="none" w:sz="0" w:space="0" w:color="auto"/>
        <w:right w:val="none" w:sz="0" w:space="0" w:color="auto"/>
      </w:divBdr>
    </w:div>
    <w:div w:id="947086592">
      <w:bodyDiv w:val="1"/>
      <w:marLeft w:val="0"/>
      <w:marRight w:val="0"/>
      <w:marTop w:val="0"/>
      <w:marBottom w:val="0"/>
      <w:divBdr>
        <w:top w:val="none" w:sz="0" w:space="0" w:color="auto"/>
        <w:left w:val="none" w:sz="0" w:space="0" w:color="auto"/>
        <w:bottom w:val="none" w:sz="0" w:space="0" w:color="auto"/>
        <w:right w:val="none" w:sz="0" w:space="0" w:color="auto"/>
      </w:divBdr>
    </w:div>
    <w:div w:id="1243759767">
      <w:bodyDiv w:val="1"/>
      <w:marLeft w:val="0"/>
      <w:marRight w:val="0"/>
      <w:marTop w:val="0"/>
      <w:marBottom w:val="0"/>
      <w:divBdr>
        <w:top w:val="none" w:sz="0" w:space="0" w:color="auto"/>
        <w:left w:val="none" w:sz="0" w:space="0" w:color="auto"/>
        <w:bottom w:val="none" w:sz="0" w:space="0" w:color="auto"/>
        <w:right w:val="none" w:sz="0" w:space="0" w:color="auto"/>
      </w:divBdr>
    </w:div>
    <w:div w:id="1327710439">
      <w:bodyDiv w:val="1"/>
      <w:marLeft w:val="0"/>
      <w:marRight w:val="0"/>
      <w:marTop w:val="0"/>
      <w:marBottom w:val="0"/>
      <w:divBdr>
        <w:top w:val="none" w:sz="0" w:space="0" w:color="auto"/>
        <w:left w:val="none" w:sz="0" w:space="0" w:color="auto"/>
        <w:bottom w:val="none" w:sz="0" w:space="0" w:color="auto"/>
        <w:right w:val="none" w:sz="0" w:space="0" w:color="auto"/>
      </w:divBdr>
    </w:div>
    <w:div w:id="1329405319">
      <w:bodyDiv w:val="1"/>
      <w:marLeft w:val="0"/>
      <w:marRight w:val="0"/>
      <w:marTop w:val="0"/>
      <w:marBottom w:val="0"/>
      <w:divBdr>
        <w:top w:val="none" w:sz="0" w:space="0" w:color="auto"/>
        <w:left w:val="none" w:sz="0" w:space="0" w:color="auto"/>
        <w:bottom w:val="none" w:sz="0" w:space="0" w:color="auto"/>
        <w:right w:val="none" w:sz="0" w:space="0" w:color="auto"/>
      </w:divBdr>
    </w:div>
    <w:div w:id="1664045206">
      <w:bodyDiv w:val="1"/>
      <w:marLeft w:val="0"/>
      <w:marRight w:val="0"/>
      <w:marTop w:val="0"/>
      <w:marBottom w:val="0"/>
      <w:divBdr>
        <w:top w:val="none" w:sz="0" w:space="0" w:color="auto"/>
        <w:left w:val="none" w:sz="0" w:space="0" w:color="auto"/>
        <w:bottom w:val="none" w:sz="0" w:space="0" w:color="auto"/>
        <w:right w:val="none" w:sz="0" w:space="0" w:color="auto"/>
      </w:divBdr>
    </w:div>
    <w:div w:id="1730035924">
      <w:bodyDiv w:val="1"/>
      <w:marLeft w:val="0"/>
      <w:marRight w:val="0"/>
      <w:marTop w:val="0"/>
      <w:marBottom w:val="0"/>
      <w:divBdr>
        <w:top w:val="none" w:sz="0" w:space="0" w:color="auto"/>
        <w:left w:val="none" w:sz="0" w:space="0" w:color="auto"/>
        <w:bottom w:val="none" w:sz="0" w:space="0" w:color="auto"/>
        <w:right w:val="none" w:sz="0" w:space="0" w:color="auto"/>
      </w:divBdr>
    </w:div>
    <w:div w:id="1791900877">
      <w:bodyDiv w:val="1"/>
      <w:marLeft w:val="0"/>
      <w:marRight w:val="0"/>
      <w:marTop w:val="0"/>
      <w:marBottom w:val="0"/>
      <w:divBdr>
        <w:top w:val="none" w:sz="0" w:space="0" w:color="auto"/>
        <w:left w:val="none" w:sz="0" w:space="0" w:color="auto"/>
        <w:bottom w:val="none" w:sz="0" w:space="0" w:color="auto"/>
        <w:right w:val="none" w:sz="0" w:space="0" w:color="auto"/>
      </w:divBdr>
    </w:div>
    <w:div w:id="1876500584">
      <w:bodyDiv w:val="1"/>
      <w:marLeft w:val="0"/>
      <w:marRight w:val="0"/>
      <w:marTop w:val="0"/>
      <w:marBottom w:val="0"/>
      <w:divBdr>
        <w:top w:val="none" w:sz="0" w:space="0" w:color="auto"/>
        <w:left w:val="none" w:sz="0" w:space="0" w:color="auto"/>
        <w:bottom w:val="none" w:sz="0" w:space="0" w:color="auto"/>
        <w:right w:val="none" w:sz="0" w:space="0" w:color="auto"/>
      </w:divBdr>
    </w:div>
    <w:div w:id="1903827557">
      <w:bodyDiv w:val="1"/>
      <w:marLeft w:val="0"/>
      <w:marRight w:val="0"/>
      <w:marTop w:val="0"/>
      <w:marBottom w:val="0"/>
      <w:divBdr>
        <w:top w:val="none" w:sz="0" w:space="0" w:color="auto"/>
        <w:left w:val="none" w:sz="0" w:space="0" w:color="auto"/>
        <w:bottom w:val="none" w:sz="0" w:space="0" w:color="auto"/>
        <w:right w:val="none" w:sz="0" w:space="0" w:color="auto"/>
      </w:divBdr>
    </w:div>
    <w:div w:id="1917475625">
      <w:bodyDiv w:val="1"/>
      <w:marLeft w:val="0"/>
      <w:marRight w:val="0"/>
      <w:marTop w:val="0"/>
      <w:marBottom w:val="0"/>
      <w:divBdr>
        <w:top w:val="none" w:sz="0" w:space="0" w:color="auto"/>
        <w:left w:val="none" w:sz="0" w:space="0" w:color="auto"/>
        <w:bottom w:val="none" w:sz="0" w:space="0" w:color="auto"/>
        <w:right w:val="none" w:sz="0" w:space="0" w:color="auto"/>
      </w:divBdr>
    </w:div>
    <w:div w:id="1947542520">
      <w:bodyDiv w:val="1"/>
      <w:marLeft w:val="0"/>
      <w:marRight w:val="0"/>
      <w:marTop w:val="0"/>
      <w:marBottom w:val="0"/>
      <w:divBdr>
        <w:top w:val="none" w:sz="0" w:space="0" w:color="auto"/>
        <w:left w:val="none" w:sz="0" w:space="0" w:color="auto"/>
        <w:bottom w:val="none" w:sz="0" w:space="0" w:color="auto"/>
        <w:right w:val="none" w:sz="0" w:space="0" w:color="auto"/>
      </w:divBdr>
    </w:div>
    <w:div w:id="1986276977">
      <w:bodyDiv w:val="1"/>
      <w:marLeft w:val="0"/>
      <w:marRight w:val="0"/>
      <w:marTop w:val="0"/>
      <w:marBottom w:val="0"/>
      <w:divBdr>
        <w:top w:val="none" w:sz="0" w:space="0" w:color="auto"/>
        <w:left w:val="none" w:sz="0" w:space="0" w:color="auto"/>
        <w:bottom w:val="none" w:sz="0" w:space="0" w:color="auto"/>
        <w:right w:val="none" w:sz="0" w:space="0" w:color="auto"/>
      </w:divBdr>
    </w:div>
    <w:div w:id="200593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guides.osl.state.or.us/ld.php?content_id=57803303" TargetMode="External"/><Relationship Id="rId18" Type="http://schemas.openxmlformats.org/officeDocument/2006/relationships/hyperlink" Target="https://www.oclc.org/realm/home.html" TargetMode="External"/><Relationship Id="rId26" Type="http://schemas.openxmlformats.org/officeDocument/2006/relationships/hyperlink" Target="https://libguides.osl.state.or.us/ld.php?content_id=57803303" TargetMode="External"/><Relationship Id="rId39" Type="http://schemas.openxmlformats.org/officeDocument/2006/relationships/hyperlink" Target="https://libguides.osl.state.or.us/ld.php?content_id=57803303" TargetMode="External"/><Relationship Id="rId21" Type="http://schemas.openxmlformats.org/officeDocument/2006/relationships/hyperlink" Target="https://www.ashrae.org/file%20library/about/position%20documents/pd_infectiousaerosols_2020.pdf" TargetMode="External"/><Relationship Id="rId34" Type="http://schemas.openxmlformats.org/officeDocument/2006/relationships/hyperlink" Target="https://midhudson.org/wp-content/uploads/2020/05/CurbsideInStoreRetailMasterGuidance.pdf"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libguides.osl.state.or.us/ld.php?content_id=57803303" TargetMode="External"/><Relationship Id="rId20" Type="http://schemas.openxmlformats.org/officeDocument/2006/relationships/hyperlink" Target="https://www.cdc.gov/coronavirus/2019-ncov/community/guidance-business-response.html" TargetMode="External"/><Relationship Id="rId29" Type="http://schemas.openxmlformats.org/officeDocument/2006/relationships/hyperlink" Target="https://libguides.osl.state.or.us/ld.php?content_id=5780330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dcc.org/free-resources/preservation-leaflets/3.-emergency-management/3.5-disinfecting-books" TargetMode="External"/><Relationship Id="rId24" Type="http://schemas.openxmlformats.org/officeDocument/2006/relationships/hyperlink" Target="https://www.nedcc.org/free-resources/preservation-leaflets/3.-emergency-management/3.5-disinfecting-books" TargetMode="External"/><Relationship Id="rId32" Type="http://schemas.openxmlformats.org/officeDocument/2006/relationships/hyperlink" Target="https://regs.health.ny.gov/volume-1a-title-10/content/section-66-32-face-coverings" TargetMode="External"/><Relationship Id="rId37" Type="http://schemas.openxmlformats.org/officeDocument/2006/relationships/hyperlink" Target="https://www.ashrae.org/file%20library/about/position%20documents/pd_infectiousaerosols_2020.pdf"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oclc.org/realm/home.html" TargetMode="External"/><Relationship Id="rId23" Type="http://schemas.openxmlformats.org/officeDocument/2006/relationships/hyperlink" Target="http://guides.statelibrary.sc.gov/coronavirusresources/communications" TargetMode="External"/><Relationship Id="rId28" Type="http://schemas.openxmlformats.org/officeDocument/2006/relationships/hyperlink" Target="https://www.oclc.org/realm/home.html" TargetMode="External"/><Relationship Id="rId36" Type="http://schemas.openxmlformats.org/officeDocument/2006/relationships/hyperlink" Target="https://www.cdc.gov/coronavirus/2019-ncov/community/office-buildings.html" TargetMode="External"/><Relationship Id="rId10" Type="http://schemas.openxmlformats.org/officeDocument/2006/relationships/hyperlink" Target="https://www.cdc.gov/coronavirus/2019-ncov/prevent-getting-sick/how-covid-spreads.html" TargetMode="External"/><Relationship Id="rId19" Type="http://schemas.openxmlformats.org/officeDocument/2006/relationships/hyperlink" Target="https://www.who.int/emergencies/diseases/novel-coronavirus-2019/question-and-answers-hub/q-a-detail/q-a-coronaviruses" TargetMode="External"/><Relationship Id="rId31" Type="http://schemas.openxmlformats.org/officeDocument/2006/relationships/hyperlink" Target="https://www.governor.ny.gov/news/no-20234-continuing-temporary-suspension-and-modification-laws-relating-disaster-emergen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edcc.org/free-resources/preservation-leaflets/3.-emergency-management/3.5-disinfecting-books" TargetMode="External"/><Relationship Id="rId22" Type="http://schemas.openxmlformats.org/officeDocument/2006/relationships/hyperlink" Target="https://www.cdc.gov/coronavirus/2019-ncov/community/office-buildings.html" TargetMode="External"/><Relationship Id="rId27" Type="http://schemas.openxmlformats.org/officeDocument/2006/relationships/hyperlink" Target="https://www.nedcc.org/free-resources/preservation-leaflets/3.-emergency-management/3.5-disinfecting-books" TargetMode="External"/><Relationship Id="rId30" Type="http://schemas.openxmlformats.org/officeDocument/2006/relationships/hyperlink" Target="https://midhudson.org/wp-content/uploads/2020/06/RetailMasterGuidance.pdf" TargetMode="External"/><Relationship Id="rId35" Type="http://schemas.openxmlformats.org/officeDocument/2006/relationships/hyperlink" Target="https://www.oclc.org/realm/home.html"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oclc.org/realm/home.html" TargetMode="External"/><Relationship Id="rId17" Type="http://schemas.openxmlformats.org/officeDocument/2006/relationships/hyperlink" Target="https://www.cdc.gov/coronavirus/2019-ncov/prevent-getting-sick/how-covid-spreads.html" TargetMode="External"/><Relationship Id="rId25" Type="http://schemas.openxmlformats.org/officeDocument/2006/relationships/hyperlink" Target="https://www.oclc.org/realm/home.html" TargetMode="External"/><Relationship Id="rId33" Type="http://schemas.openxmlformats.org/officeDocument/2006/relationships/hyperlink" Target="https://www.governor.ny.gov/sites/governor.ny.gov/files/atoms/files/NYS_BusinessReopeningSafetyPlanTemplate.pdf" TargetMode="External"/><Relationship Id="rId38" Type="http://schemas.openxmlformats.org/officeDocument/2006/relationships/hyperlink" Target="https://regs.health.ny.gov/volume-1a-title-10/content/section-66-32-face-cove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5D47F96645BD48B29F7991E706BCCE" ma:contentTypeVersion="12" ma:contentTypeDescription="Create a new document." ma:contentTypeScope="" ma:versionID="0b66f1b3b82b1e6d2b7ed5c21f2230cb">
  <xsd:schema xmlns:xsd="http://www.w3.org/2001/XMLSchema" xmlns:xs="http://www.w3.org/2001/XMLSchema" xmlns:p="http://schemas.microsoft.com/office/2006/metadata/properties" xmlns:ns2="c02dc7c5-92d6-40e4-8076-de72fa6f9102" xmlns:ns3="2f1d61cd-c050-4168-be77-bae7416d0414" targetNamespace="http://schemas.microsoft.com/office/2006/metadata/properties" ma:root="true" ma:fieldsID="8cc6d53f9df9aba897b0e02dd7220735" ns2:_="" ns3:_="">
    <xsd:import namespace="c02dc7c5-92d6-40e4-8076-de72fa6f9102"/>
    <xsd:import namespace="2f1d61cd-c050-4168-be77-bae7416d04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c7c5-92d6-40e4-8076-de72fa6f9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d61cd-c050-4168-be77-bae7416d04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4C974-15A7-4920-938B-A603B9222DCB}">
  <ds:schemaRefs>
    <ds:schemaRef ds:uri="http://schemas.microsoft.com/sharepoint/v3/contenttype/forms"/>
  </ds:schemaRefs>
</ds:datastoreItem>
</file>

<file path=customXml/itemProps2.xml><?xml version="1.0" encoding="utf-8"?>
<ds:datastoreItem xmlns:ds="http://schemas.openxmlformats.org/officeDocument/2006/customXml" ds:itemID="{64814C73-3744-4CDE-A8F7-337E74E21F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049AE3-5082-4B36-8459-7F297D83F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c7c5-92d6-40e4-8076-de72fa6f9102"/>
    <ds:schemaRef ds:uri="2f1d61cd-c050-4168-be77-bae7416d0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1873</Words>
  <Characters>10679</Characters>
  <Application>Microsoft Office Word</Application>
  <DocSecurity>0</DocSecurity>
  <Lines>88</Lines>
  <Paragraphs>25</Paragraphs>
  <ScaleCrop>false</ScaleCrop>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Conlin</dc:creator>
  <cp:keywords/>
  <dc:description/>
  <cp:lastModifiedBy>Casey Conlin</cp:lastModifiedBy>
  <cp:revision>114</cp:revision>
  <dcterms:created xsi:type="dcterms:W3CDTF">2020-06-10T12:05:00Z</dcterms:created>
  <dcterms:modified xsi:type="dcterms:W3CDTF">2020-10-20T15:52:00Z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0x010100555D47F96645BD48B29F7991E706BCCE</vt:lpwstr>
  </property>
</Properties>
</file>