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A707" w14:textId="77777777" w:rsidR="00107EB1" w:rsidRPr="001D1B48" w:rsidRDefault="001D1B48" w:rsidP="001D1B48">
      <w:pPr>
        <w:jc w:val="center"/>
        <w:rPr>
          <w:b/>
          <w:sz w:val="36"/>
        </w:rPr>
      </w:pPr>
      <w:r w:rsidRPr="001D1B48">
        <w:rPr>
          <w:b/>
          <w:sz w:val="36"/>
        </w:rPr>
        <w:t>Narrative: Impact of Project Outline</w:t>
      </w:r>
      <w:r>
        <w:rPr>
          <w:b/>
          <w:sz w:val="36"/>
        </w:rPr>
        <w:t xml:space="preserve"> Worksheet</w:t>
      </w:r>
    </w:p>
    <w:p w14:paraId="6005A708" w14:textId="77777777" w:rsidR="001D1B48" w:rsidRPr="001D1B48" w:rsidRDefault="001D1B48" w:rsidP="001D1B48">
      <w:pPr>
        <w:rPr>
          <w:b/>
          <w:bCs/>
          <w:sz w:val="24"/>
        </w:rPr>
      </w:pPr>
      <w:r w:rsidRPr="001D1B48">
        <w:rPr>
          <w:b/>
          <w:bCs/>
          <w:sz w:val="24"/>
        </w:rPr>
        <w:t>1. How does this project relate to your board-approved, prioritize</w:t>
      </w:r>
      <w:r w:rsidR="003E3951">
        <w:rPr>
          <w:b/>
          <w:bCs/>
          <w:sz w:val="24"/>
        </w:rPr>
        <w:t>d facility plan filed with MHLS</w:t>
      </w:r>
      <w:r w:rsidRPr="001D1B48">
        <w:rPr>
          <w:b/>
          <w:bCs/>
          <w:sz w:val="24"/>
        </w:rPr>
        <w:t>?</w:t>
      </w:r>
    </w:p>
    <w:p w14:paraId="6005A709" w14:textId="77777777" w:rsidR="001D1B48" w:rsidRPr="001D1B48" w:rsidRDefault="001D1B48" w:rsidP="001D1B48">
      <w:pPr>
        <w:rPr>
          <w:sz w:val="24"/>
        </w:rPr>
      </w:pPr>
    </w:p>
    <w:p w14:paraId="31A5B799" w14:textId="77777777" w:rsidR="003558B7" w:rsidRDefault="001D1B48" w:rsidP="003558B7">
      <w:pPr>
        <w:rPr>
          <w:sz w:val="24"/>
        </w:rPr>
      </w:pPr>
      <w:r w:rsidRPr="001D1B48">
        <w:rPr>
          <w:b/>
          <w:bCs/>
          <w:sz w:val="24"/>
        </w:rPr>
        <w:t xml:space="preserve">2. Which of the MHLS Funding Priorities does your project address? </w:t>
      </w:r>
      <w:r>
        <w:rPr>
          <w:sz w:val="24"/>
        </w:rPr>
        <w:t>Check</w:t>
      </w:r>
      <w:r w:rsidRPr="001D1B48">
        <w:rPr>
          <w:sz w:val="24"/>
        </w:rPr>
        <w:t xml:space="preserve"> all that apply.</w:t>
      </w:r>
    </w:p>
    <w:p w14:paraId="7D7F2F94" w14:textId="31757489" w:rsidR="003558B7" w:rsidRPr="003558B7" w:rsidRDefault="003558B7" w:rsidP="003558B7">
      <w:pPr>
        <w:pStyle w:val="ListParagraph"/>
        <w:numPr>
          <w:ilvl w:val="0"/>
          <w:numId w:val="6"/>
        </w:numPr>
        <w:spacing w:line="276" w:lineRule="auto"/>
        <w:rPr>
          <w:rFonts w:cstheme="minorHAnsi"/>
        </w:rPr>
      </w:pPr>
      <w:r w:rsidRPr="003558B7">
        <w:rPr>
          <w:rFonts w:eastAsia="Times New Roman" w:cstheme="minorHAnsi"/>
          <w:b/>
          <w:bCs/>
        </w:rPr>
        <w:t>An increase in services</w:t>
      </w:r>
      <w:r w:rsidRPr="003558B7">
        <w:rPr>
          <w:rFonts w:eastAsia="Times New Roman" w:cstheme="minorHAnsi"/>
        </w:rPr>
        <w:t xml:space="preserve"> through an increase in usable public space or increased staff efficiencies (e.g., new buildings, additions to current buildings, renovation of existing areas for new uses); and/o</w:t>
      </w:r>
      <w:r w:rsidRPr="003558B7">
        <w:rPr>
          <w:rFonts w:eastAsia="Times New Roman" w:cstheme="minorHAnsi"/>
        </w:rPr>
        <w:t>r</w:t>
      </w:r>
      <w:r>
        <w:rPr>
          <w:rFonts w:eastAsia="Times New Roman" w:cstheme="minorHAnsi"/>
        </w:rPr>
        <w:br/>
      </w:r>
    </w:p>
    <w:p w14:paraId="7C61F77D" w14:textId="020478A6" w:rsidR="003558B7" w:rsidRPr="003558B7" w:rsidRDefault="003558B7" w:rsidP="003558B7">
      <w:pPr>
        <w:pStyle w:val="ListParagraph"/>
        <w:numPr>
          <w:ilvl w:val="0"/>
          <w:numId w:val="6"/>
        </w:numPr>
        <w:spacing w:line="276" w:lineRule="auto"/>
        <w:rPr>
          <w:rFonts w:cstheme="minorHAnsi"/>
        </w:rPr>
      </w:pPr>
      <w:r w:rsidRPr="003558B7">
        <w:rPr>
          <w:rFonts w:eastAsia="Times New Roman" w:cstheme="minorHAnsi"/>
          <w:b/>
          <w:bCs/>
        </w:rPr>
        <w:t>An increase in access</w:t>
      </w:r>
      <w:r w:rsidRPr="003558B7">
        <w:rPr>
          <w:rFonts w:eastAsia="Times New Roman" w:cstheme="minorHAnsi"/>
        </w:rPr>
        <w:t xml:space="preserve"> (e.g., compliance with the </w:t>
      </w:r>
      <w:hyperlink r:id="rId7" w:tgtFrame="_blank" w:history="1">
        <w:r w:rsidRPr="003558B7">
          <w:rPr>
            <w:rFonts w:eastAsia="Times New Roman" w:cstheme="minorHAnsi"/>
            <w:color w:val="0000FF"/>
            <w:u w:val="single"/>
          </w:rPr>
          <w:t>Americans with Disabilities Act (ADA)</w:t>
        </w:r>
      </w:hyperlink>
      <w:r w:rsidRPr="003558B7">
        <w:rPr>
          <w:rFonts w:eastAsia="Times New Roman" w:cstheme="minorHAnsi"/>
        </w:rPr>
        <w:t>; improved broadband; optimization of a space to bring in a new or underserved population; creation of climate controlled space to ensure access to historically relevant materials); and/or</w:t>
      </w:r>
      <w:r>
        <w:rPr>
          <w:rFonts w:eastAsia="Times New Roman" w:cstheme="minorHAnsi"/>
        </w:rPr>
        <w:br/>
      </w:r>
    </w:p>
    <w:p w14:paraId="0B60AC7E" w14:textId="009539B9" w:rsidR="003558B7" w:rsidRPr="003558B7" w:rsidRDefault="003558B7" w:rsidP="003558B7">
      <w:pPr>
        <w:pStyle w:val="ListParagraph"/>
        <w:numPr>
          <w:ilvl w:val="0"/>
          <w:numId w:val="6"/>
        </w:numPr>
        <w:spacing w:line="276" w:lineRule="auto"/>
        <w:rPr>
          <w:rFonts w:cstheme="minorHAnsi"/>
        </w:rPr>
      </w:pPr>
      <w:r w:rsidRPr="003558B7">
        <w:rPr>
          <w:rFonts w:eastAsia="Times New Roman" w:cstheme="minorHAnsi"/>
          <w:b/>
          <w:bCs/>
        </w:rPr>
        <w:t>Energy conservation in the context of a professional’s recommendations</w:t>
      </w:r>
      <w:r w:rsidRPr="003558B7">
        <w:rPr>
          <w:rFonts w:eastAsia="Times New Roman" w:cstheme="minorHAnsi"/>
        </w:rPr>
        <w:t xml:space="preserve"> </w:t>
      </w:r>
      <w:r w:rsidRPr="003558B7">
        <w:rPr>
          <w:rFonts w:eastAsia="Times New Roman" w:cstheme="minorHAnsi"/>
          <w:b/>
          <w:bCs/>
        </w:rPr>
        <w:t xml:space="preserve">or with an </w:t>
      </w:r>
      <w:hyperlink r:id="rId8" w:tgtFrame="_blank" w:history="1">
        <w:r w:rsidRPr="003558B7">
          <w:rPr>
            <w:rFonts w:eastAsia="Times New Roman" w:cstheme="minorHAnsi"/>
            <w:b/>
            <w:bCs/>
            <w:color w:val="0000FF"/>
            <w:u w:val="single"/>
          </w:rPr>
          <w:t>historic preservation element</w:t>
        </w:r>
      </w:hyperlink>
      <w:r w:rsidRPr="003558B7">
        <w:rPr>
          <w:rFonts w:eastAsia="Times New Roman" w:cstheme="minorHAnsi"/>
          <w:b/>
          <w:bCs/>
        </w:rPr>
        <w:t xml:space="preserve">. </w:t>
      </w:r>
      <w:r w:rsidRPr="003558B7">
        <w:rPr>
          <w:rFonts w:eastAsia="Times New Roman" w:cstheme="minorHAnsi"/>
        </w:rPr>
        <w:t xml:space="preserve">For the purposes of the MHLS board’s ranking, a “professional’s recommendation” will, at least, include the results of a Level 2 ASHRAE Energy Audit that has been conducted within the past five years. Libraries enrolled in the New York Library Association’s Sustainable Library Certification Program will also be eligible for this point. Libraries are expected to comply with the ENERGY STAR standards detailed in the </w:t>
      </w:r>
      <w:hyperlink r:id="rId9" w:tgtFrame="_blank" w:history="1">
        <w:r w:rsidRPr="003558B7">
          <w:rPr>
            <w:rFonts w:eastAsia="Times New Roman" w:cstheme="minorHAnsi"/>
            <w:color w:val="0000FF"/>
            <w:u w:val="single"/>
          </w:rPr>
          <w:t>MHLS ‘</w:t>
        </w:r>
        <w:r w:rsidRPr="003558B7">
          <w:rPr>
            <w:rFonts w:eastAsia="Times New Roman" w:cstheme="minorHAnsi"/>
            <w:i/>
            <w:iCs/>
            <w:color w:val="0000FF"/>
            <w:u w:val="single"/>
          </w:rPr>
          <w:t>Useful life energy conservation standards</w:t>
        </w:r>
        <w:r w:rsidRPr="003558B7">
          <w:rPr>
            <w:rFonts w:eastAsia="Times New Roman" w:cstheme="minorHAnsi"/>
            <w:color w:val="0000FF"/>
            <w:u w:val="single"/>
          </w:rPr>
          <w:t xml:space="preserve">” </w:t>
        </w:r>
      </w:hyperlink>
      <w:r w:rsidRPr="003558B7">
        <w:rPr>
          <w:rFonts w:eastAsia="Times New Roman" w:cstheme="minorHAnsi"/>
        </w:rPr>
        <w:t>for the purposes of this grant; and/or</w:t>
      </w:r>
      <w:r>
        <w:rPr>
          <w:rFonts w:eastAsia="Times New Roman" w:cstheme="minorHAnsi"/>
        </w:rPr>
        <w:br/>
      </w:r>
    </w:p>
    <w:p w14:paraId="66B3498B" w14:textId="77D41146" w:rsidR="003558B7" w:rsidRPr="003558B7" w:rsidRDefault="003558B7" w:rsidP="003558B7">
      <w:pPr>
        <w:pStyle w:val="ListParagraph"/>
        <w:numPr>
          <w:ilvl w:val="0"/>
          <w:numId w:val="6"/>
        </w:numPr>
        <w:spacing w:line="276" w:lineRule="auto"/>
        <w:rPr>
          <w:rFonts w:cstheme="minorHAnsi"/>
        </w:rPr>
      </w:pPr>
      <w:r w:rsidRPr="003558B7">
        <w:rPr>
          <w:rFonts w:eastAsia="Times New Roman" w:cstheme="minorHAnsi"/>
          <w:b/>
          <w:bCs/>
        </w:rPr>
        <w:t>Disaster recovery</w:t>
      </w:r>
      <w:r w:rsidRPr="003558B7">
        <w:rPr>
          <w:rFonts w:eastAsia="Times New Roman" w:cstheme="minorHAnsi"/>
        </w:rPr>
        <w:t xml:space="preserve"> in the context of a substantial loss of access to library services due to a low probability-high consequence event(s) (e.g., fire, flood). This will apply to libraries: (1) located within a declared state or federal disaster area, or (2) not located within a declared disaster area if </w:t>
      </w:r>
      <w:proofErr w:type="gramStart"/>
      <w:r w:rsidRPr="003558B7">
        <w:rPr>
          <w:rFonts w:eastAsia="Times New Roman" w:cstheme="minorHAnsi"/>
        </w:rPr>
        <w:t>sufficient</w:t>
      </w:r>
      <w:proofErr w:type="gramEnd"/>
      <w:r w:rsidRPr="003558B7">
        <w:rPr>
          <w:rFonts w:eastAsia="Times New Roman" w:cstheme="minorHAnsi"/>
        </w:rPr>
        <w:t xml:space="preserve"> evidence documents a low probability-high consequence event resulted in substantial loss of access to library services. Within the grant narrative the library must adequately </w:t>
      </w:r>
      <w:proofErr w:type="gramStart"/>
      <w:r w:rsidRPr="003558B7">
        <w:rPr>
          <w:rFonts w:eastAsia="Times New Roman" w:cstheme="minorHAnsi"/>
        </w:rPr>
        <w:t>describe:</w:t>
      </w:r>
      <w:proofErr w:type="gramEnd"/>
      <w:r w:rsidRPr="003558B7">
        <w:rPr>
          <w:rFonts w:eastAsia="Times New Roman" w:cstheme="minorHAnsi"/>
        </w:rPr>
        <w:t xml:space="preserve"> a) length of forewarning; b) magnitude of impact; and c) duration of impact, meaning lack of access by the public to library services; and/or</w:t>
      </w:r>
      <w:r>
        <w:rPr>
          <w:rFonts w:eastAsia="Times New Roman" w:cstheme="minorHAnsi"/>
        </w:rPr>
        <w:br/>
      </w:r>
    </w:p>
    <w:p w14:paraId="6005A70F" w14:textId="3D95B92A" w:rsidR="001D1B48" w:rsidRPr="003558B7" w:rsidRDefault="003558B7" w:rsidP="003558B7">
      <w:pPr>
        <w:pStyle w:val="ListParagraph"/>
        <w:numPr>
          <w:ilvl w:val="0"/>
          <w:numId w:val="6"/>
        </w:numPr>
        <w:spacing w:line="276" w:lineRule="auto"/>
        <w:rPr>
          <w:sz w:val="24"/>
        </w:rPr>
      </w:pPr>
      <w:r w:rsidRPr="003558B7">
        <w:rPr>
          <w:rFonts w:eastAsia="Times New Roman" w:cstheme="minorHAnsi"/>
          <w:b/>
          <w:bCs/>
        </w:rPr>
        <w:t>Leadership in sustainable design</w:t>
      </w:r>
      <w:r w:rsidRPr="003558B7">
        <w:rPr>
          <w:rFonts w:eastAsia="Times New Roman" w:cstheme="minorHAnsi"/>
        </w:rPr>
        <w:t xml:space="preserve"> in the context of pursuit of certification through the </w:t>
      </w:r>
      <w:hyperlink r:id="rId10" w:anchor="rating" w:tgtFrame="_blank" w:history="1">
        <w:r w:rsidRPr="003558B7">
          <w:rPr>
            <w:rFonts w:eastAsia="Times New Roman" w:cstheme="minorHAnsi"/>
            <w:color w:val="0000FF"/>
            <w:u w:val="single"/>
          </w:rPr>
          <w:t>Leadership in Energy and Environmental Design program (LEED)</w:t>
        </w:r>
      </w:hyperlink>
      <w:r w:rsidRPr="003558B7">
        <w:rPr>
          <w:rFonts w:eastAsia="Times New Roman" w:cstheme="minorHAnsi"/>
        </w:rPr>
        <w:t xml:space="preserve">; </w:t>
      </w:r>
      <w:hyperlink r:id="rId11" w:tgtFrame="_blank" w:history="1">
        <w:r w:rsidRPr="003558B7">
          <w:rPr>
            <w:rFonts w:eastAsia="Times New Roman" w:cstheme="minorHAnsi"/>
            <w:color w:val="0000FF"/>
            <w:u w:val="single"/>
          </w:rPr>
          <w:t>Green Globes</w:t>
        </w:r>
      </w:hyperlink>
      <w:r w:rsidRPr="003558B7">
        <w:rPr>
          <w:rFonts w:eastAsia="Times New Roman" w:cstheme="minorHAnsi"/>
        </w:rPr>
        <w:t xml:space="preserve">; </w:t>
      </w:r>
      <w:hyperlink r:id="rId12" w:tgtFrame="_blank" w:history="1">
        <w:r w:rsidRPr="003558B7">
          <w:rPr>
            <w:rFonts w:eastAsia="Times New Roman" w:cstheme="minorHAnsi"/>
            <w:color w:val="0000FF"/>
            <w:u w:val="single"/>
          </w:rPr>
          <w:t>Living Building Challenge</w:t>
        </w:r>
      </w:hyperlink>
      <w:r w:rsidRPr="003558B7">
        <w:rPr>
          <w:rFonts w:eastAsia="Times New Roman" w:cstheme="minorHAnsi"/>
        </w:rPr>
        <w:t xml:space="preserve">; </w:t>
      </w:r>
      <w:hyperlink r:id="rId13" w:tgtFrame="_blank" w:history="1">
        <w:r w:rsidRPr="003558B7">
          <w:rPr>
            <w:rFonts w:eastAsia="Times New Roman" w:cstheme="minorHAnsi"/>
            <w:color w:val="0000FF"/>
            <w:u w:val="single"/>
          </w:rPr>
          <w:t>Energy Star</w:t>
        </w:r>
      </w:hyperlink>
      <w:r w:rsidRPr="003558B7">
        <w:rPr>
          <w:rFonts w:eastAsia="Times New Roman" w:cstheme="minorHAnsi"/>
        </w:rPr>
        <w:t xml:space="preserve">; </w:t>
      </w:r>
      <w:hyperlink r:id="rId14" w:tgtFrame="_blank" w:history="1">
        <w:r w:rsidRPr="003558B7">
          <w:rPr>
            <w:rFonts w:eastAsia="Times New Roman" w:cstheme="minorHAnsi"/>
            <w:color w:val="0000FF"/>
            <w:u w:val="single"/>
          </w:rPr>
          <w:t>Net Zero Energy Building Certification</w:t>
        </w:r>
      </w:hyperlink>
      <w:r w:rsidRPr="003558B7">
        <w:rPr>
          <w:rFonts w:eastAsia="Times New Roman" w:cstheme="minorHAnsi"/>
        </w:rPr>
        <w:t xml:space="preserve"> and/or </w:t>
      </w:r>
      <w:hyperlink r:id="rId15" w:tgtFrame="_blank" w:history="1">
        <w:r w:rsidRPr="003558B7">
          <w:rPr>
            <w:rFonts w:eastAsia="Times New Roman" w:cstheme="minorHAnsi"/>
            <w:color w:val="0000FF"/>
            <w:u w:val="single"/>
          </w:rPr>
          <w:t>Passive House</w:t>
        </w:r>
      </w:hyperlink>
      <w:r w:rsidRPr="003558B7">
        <w:rPr>
          <w:rFonts w:eastAsia="Times New Roman" w:cstheme="minorHAnsi"/>
        </w:rPr>
        <w:t>.</w:t>
      </w:r>
      <w:r w:rsidR="001D1B48" w:rsidRPr="003558B7">
        <w:rPr>
          <w:rFonts w:eastAsia="Times New Roman"/>
          <w:sz w:val="24"/>
        </w:rPr>
        <w:br/>
      </w:r>
    </w:p>
    <w:p w14:paraId="6005A710" w14:textId="77777777" w:rsidR="001D1B48" w:rsidRPr="001D1B48" w:rsidRDefault="001D1B48" w:rsidP="001D1B48">
      <w:pPr>
        <w:rPr>
          <w:b/>
          <w:bCs/>
          <w:sz w:val="24"/>
        </w:rPr>
      </w:pPr>
      <w:r w:rsidRPr="001D1B48">
        <w:rPr>
          <w:b/>
          <w:bCs/>
          <w:sz w:val="24"/>
        </w:rPr>
        <w:t xml:space="preserve">3. How does your project relate to the funding priorities you have checked in #2? </w:t>
      </w:r>
      <w:r w:rsidRPr="001D1B48">
        <w:rPr>
          <w:bCs/>
          <w:sz w:val="24"/>
        </w:rPr>
        <w:t>Provide at least one paragraph per funding priority checked above in your narrative to clearly address how your project addresses the priority.</w:t>
      </w:r>
      <w:r w:rsidRPr="001D1B48">
        <w:rPr>
          <w:b/>
          <w:bCs/>
          <w:sz w:val="24"/>
        </w:rPr>
        <w:br/>
      </w:r>
      <w:r w:rsidRPr="001D1B48">
        <w:rPr>
          <w:b/>
          <w:bCs/>
          <w:sz w:val="24"/>
        </w:rPr>
        <w:br/>
      </w:r>
    </w:p>
    <w:p w14:paraId="6005A711" w14:textId="77777777" w:rsidR="001D1B48" w:rsidRDefault="001D1B48" w:rsidP="001D1B48">
      <w:pPr>
        <w:rPr>
          <w:b/>
          <w:bCs/>
          <w:sz w:val="24"/>
        </w:rPr>
      </w:pPr>
    </w:p>
    <w:p w14:paraId="6005A714" w14:textId="77777777" w:rsidR="001D1B48" w:rsidRPr="001D1B48" w:rsidRDefault="001D1B48" w:rsidP="001D1B48">
      <w:pPr>
        <w:rPr>
          <w:sz w:val="24"/>
        </w:rPr>
      </w:pPr>
      <w:bookmarkStart w:id="0" w:name="_GoBack"/>
      <w:bookmarkEnd w:id="0"/>
      <w:r w:rsidRPr="001D1B48">
        <w:rPr>
          <w:b/>
          <w:bCs/>
          <w:sz w:val="24"/>
        </w:rPr>
        <w:t xml:space="preserve">4. If applicable, provide the justification for claiming the “economically disadvantaged community” reduced match option. </w:t>
      </w:r>
    </w:p>
    <w:p w14:paraId="6005A715" w14:textId="77777777" w:rsidR="001D1B48" w:rsidRPr="001D1B48" w:rsidRDefault="001D1B48">
      <w:pPr>
        <w:rPr>
          <w:sz w:val="24"/>
        </w:rPr>
      </w:pPr>
    </w:p>
    <w:sectPr w:rsidR="001D1B48" w:rsidRPr="001D1B48" w:rsidSect="001D1B48">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5A718" w14:textId="77777777" w:rsidR="00BD7D92" w:rsidRDefault="00BD7D92" w:rsidP="001D1B48">
      <w:pPr>
        <w:spacing w:after="0" w:line="240" w:lineRule="auto"/>
      </w:pPr>
      <w:r>
        <w:separator/>
      </w:r>
    </w:p>
  </w:endnote>
  <w:endnote w:type="continuationSeparator" w:id="0">
    <w:p w14:paraId="6005A719" w14:textId="77777777" w:rsidR="00BD7D92" w:rsidRDefault="00BD7D92" w:rsidP="001D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5A71A" w14:textId="77777777" w:rsidR="001D1B48" w:rsidRDefault="001D1B48" w:rsidP="001D1B48">
    <w:pPr>
      <w:pStyle w:val="Footer"/>
      <w:jc w:val="right"/>
    </w:pPr>
    <w:r>
      <w:rPr>
        <w:noProof/>
      </w:rPr>
      <w:drawing>
        <wp:inline distT="0" distB="0" distL="0" distR="0" wp14:anchorId="6005A71B" wp14:editId="6005A71C">
          <wp:extent cx="1699475" cy="464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ls.png"/>
                  <pic:cNvPicPr/>
                </pic:nvPicPr>
                <pic:blipFill>
                  <a:blip r:embed="rId1">
                    <a:extLst>
                      <a:ext uri="{28A0092B-C50C-407E-A947-70E740481C1C}">
                        <a14:useLocalDpi xmlns:a14="http://schemas.microsoft.com/office/drawing/2010/main" val="0"/>
                      </a:ext>
                    </a:extLst>
                  </a:blip>
                  <a:stretch>
                    <a:fillRect/>
                  </a:stretch>
                </pic:blipFill>
                <pic:spPr>
                  <a:xfrm>
                    <a:off x="0" y="0"/>
                    <a:ext cx="1751546" cy="4783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5A716" w14:textId="77777777" w:rsidR="00BD7D92" w:rsidRDefault="00BD7D92" w:rsidP="001D1B48">
      <w:pPr>
        <w:spacing w:after="0" w:line="240" w:lineRule="auto"/>
      </w:pPr>
      <w:r>
        <w:separator/>
      </w:r>
    </w:p>
  </w:footnote>
  <w:footnote w:type="continuationSeparator" w:id="0">
    <w:p w14:paraId="6005A717" w14:textId="77777777" w:rsidR="00BD7D92" w:rsidRDefault="00BD7D92" w:rsidP="001D1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31F1"/>
    <w:multiLevelType w:val="multilevel"/>
    <w:tmpl w:val="2BF6C3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Calibri" w:hAnsi="Calibri"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25789C"/>
    <w:multiLevelType w:val="multilevel"/>
    <w:tmpl w:val="7A02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25BCA"/>
    <w:multiLevelType w:val="hybridMultilevel"/>
    <w:tmpl w:val="39CCBEBC"/>
    <w:lvl w:ilvl="0" w:tplc="D4207A14">
      <w:start w:val="1"/>
      <w:numFmt w:val="bullet"/>
      <w:lvlText w:val=""/>
      <w:lvlJc w:val="left"/>
      <w:pPr>
        <w:tabs>
          <w:tab w:val="num" w:pos="720"/>
        </w:tabs>
        <w:ind w:left="720" w:hanging="360"/>
      </w:pPr>
      <w:rPr>
        <w:rFonts w:ascii="Wingdings" w:hAnsi="Wingdings" w:hint="default"/>
      </w:rPr>
    </w:lvl>
    <w:lvl w:ilvl="1" w:tplc="DD5CB63C">
      <w:start w:val="1"/>
      <w:numFmt w:val="bullet"/>
      <w:lvlText w:val=""/>
      <w:lvlJc w:val="left"/>
      <w:pPr>
        <w:tabs>
          <w:tab w:val="num" w:pos="1440"/>
        </w:tabs>
        <w:ind w:left="1440" w:hanging="360"/>
      </w:pPr>
      <w:rPr>
        <w:rFonts w:ascii="Wingdings" w:hAnsi="Wingdings" w:hint="default"/>
      </w:rPr>
    </w:lvl>
    <w:lvl w:ilvl="2" w:tplc="8A9E4D3A" w:tentative="1">
      <w:start w:val="1"/>
      <w:numFmt w:val="bullet"/>
      <w:lvlText w:val=""/>
      <w:lvlJc w:val="left"/>
      <w:pPr>
        <w:tabs>
          <w:tab w:val="num" w:pos="2160"/>
        </w:tabs>
        <w:ind w:left="2160" w:hanging="360"/>
      </w:pPr>
      <w:rPr>
        <w:rFonts w:ascii="Wingdings" w:hAnsi="Wingdings" w:hint="default"/>
      </w:rPr>
    </w:lvl>
    <w:lvl w:ilvl="3" w:tplc="085278E4" w:tentative="1">
      <w:start w:val="1"/>
      <w:numFmt w:val="bullet"/>
      <w:lvlText w:val=""/>
      <w:lvlJc w:val="left"/>
      <w:pPr>
        <w:tabs>
          <w:tab w:val="num" w:pos="2880"/>
        </w:tabs>
        <w:ind w:left="2880" w:hanging="360"/>
      </w:pPr>
      <w:rPr>
        <w:rFonts w:ascii="Wingdings" w:hAnsi="Wingdings" w:hint="default"/>
      </w:rPr>
    </w:lvl>
    <w:lvl w:ilvl="4" w:tplc="5FC2247A" w:tentative="1">
      <w:start w:val="1"/>
      <w:numFmt w:val="bullet"/>
      <w:lvlText w:val=""/>
      <w:lvlJc w:val="left"/>
      <w:pPr>
        <w:tabs>
          <w:tab w:val="num" w:pos="3600"/>
        </w:tabs>
        <w:ind w:left="3600" w:hanging="360"/>
      </w:pPr>
      <w:rPr>
        <w:rFonts w:ascii="Wingdings" w:hAnsi="Wingdings" w:hint="default"/>
      </w:rPr>
    </w:lvl>
    <w:lvl w:ilvl="5" w:tplc="D0C24A7C" w:tentative="1">
      <w:start w:val="1"/>
      <w:numFmt w:val="bullet"/>
      <w:lvlText w:val=""/>
      <w:lvlJc w:val="left"/>
      <w:pPr>
        <w:tabs>
          <w:tab w:val="num" w:pos="4320"/>
        </w:tabs>
        <w:ind w:left="4320" w:hanging="360"/>
      </w:pPr>
      <w:rPr>
        <w:rFonts w:ascii="Wingdings" w:hAnsi="Wingdings" w:hint="default"/>
      </w:rPr>
    </w:lvl>
    <w:lvl w:ilvl="6" w:tplc="ED1CE406" w:tentative="1">
      <w:start w:val="1"/>
      <w:numFmt w:val="bullet"/>
      <w:lvlText w:val=""/>
      <w:lvlJc w:val="left"/>
      <w:pPr>
        <w:tabs>
          <w:tab w:val="num" w:pos="5040"/>
        </w:tabs>
        <w:ind w:left="5040" w:hanging="360"/>
      </w:pPr>
      <w:rPr>
        <w:rFonts w:ascii="Wingdings" w:hAnsi="Wingdings" w:hint="default"/>
      </w:rPr>
    </w:lvl>
    <w:lvl w:ilvl="7" w:tplc="36B04CD6" w:tentative="1">
      <w:start w:val="1"/>
      <w:numFmt w:val="bullet"/>
      <w:lvlText w:val=""/>
      <w:lvlJc w:val="left"/>
      <w:pPr>
        <w:tabs>
          <w:tab w:val="num" w:pos="5760"/>
        </w:tabs>
        <w:ind w:left="5760" w:hanging="360"/>
      </w:pPr>
      <w:rPr>
        <w:rFonts w:ascii="Wingdings" w:hAnsi="Wingdings" w:hint="default"/>
      </w:rPr>
    </w:lvl>
    <w:lvl w:ilvl="8" w:tplc="016CCC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C832F1"/>
    <w:multiLevelType w:val="hybridMultilevel"/>
    <w:tmpl w:val="FED84FDE"/>
    <w:lvl w:ilvl="0" w:tplc="EB6E85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E3FD6"/>
    <w:multiLevelType w:val="multilevel"/>
    <w:tmpl w:val="9202DA7E"/>
    <w:lvl w:ilvl="0">
      <w:start w:val="1"/>
      <w:numFmt w:val="decimal"/>
      <w:lvlText w:val="%1)"/>
      <w:lvlJc w:val="left"/>
      <w:pPr>
        <w:ind w:left="360" w:hanging="360"/>
      </w:p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Calibri" w:hAnsi="Calibri"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E807E0"/>
    <w:multiLevelType w:val="multilevel"/>
    <w:tmpl w:val="BE38E6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48"/>
    <w:rsid w:val="00143F3C"/>
    <w:rsid w:val="0017002D"/>
    <w:rsid w:val="001D1B48"/>
    <w:rsid w:val="003558B7"/>
    <w:rsid w:val="003D2526"/>
    <w:rsid w:val="003E3951"/>
    <w:rsid w:val="00A32793"/>
    <w:rsid w:val="00A97AFA"/>
    <w:rsid w:val="00BD7D92"/>
    <w:rsid w:val="00CF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5A707"/>
  <w15:chartTrackingRefBased/>
  <w15:docId w15:val="{25538475-1250-4015-8141-2B4F7849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B48"/>
  </w:style>
  <w:style w:type="paragraph" w:styleId="Footer">
    <w:name w:val="footer"/>
    <w:basedOn w:val="Normal"/>
    <w:link w:val="FooterChar"/>
    <w:uiPriority w:val="99"/>
    <w:unhideWhenUsed/>
    <w:rsid w:val="001D1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B48"/>
  </w:style>
  <w:style w:type="paragraph" w:styleId="ListParagraph">
    <w:name w:val="List Paragraph"/>
    <w:basedOn w:val="Normal"/>
    <w:uiPriority w:val="34"/>
    <w:qFormat/>
    <w:rsid w:val="001D1B48"/>
    <w:pPr>
      <w:ind w:left="720"/>
      <w:contextualSpacing/>
    </w:pPr>
  </w:style>
  <w:style w:type="paragraph" w:styleId="BalloonText">
    <w:name w:val="Balloon Text"/>
    <w:basedOn w:val="Normal"/>
    <w:link w:val="BalloonTextChar"/>
    <w:uiPriority w:val="99"/>
    <w:semiHidden/>
    <w:unhideWhenUsed/>
    <w:rsid w:val="003E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951"/>
    <w:rPr>
      <w:rFonts w:ascii="Segoe UI" w:hAnsi="Segoe UI" w:cs="Segoe UI"/>
      <w:sz w:val="18"/>
      <w:szCs w:val="18"/>
    </w:rPr>
  </w:style>
  <w:style w:type="character" w:styleId="Strong">
    <w:name w:val="Strong"/>
    <w:basedOn w:val="DefaultParagraphFont"/>
    <w:uiPriority w:val="22"/>
    <w:qFormat/>
    <w:rsid w:val="003558B7"/>
    <w:rPr>
      <w:b/>
      <w:bCs/>
    </w:rPr>
  </w:style>
  <w:style w:type="character" w:styleId="Hyperlink">
    <w:name w:val="Hyperlink"/>
    <w:basedOn w:val="DefaultParagraphFont"/>
    <w:uiPriority w:val="99"/>
    <w:semiHidden/>
    <w:unhideWhenUsed/>
    <w:rsid w:val="003558B7"/>
    <w:rPr>
      <w:color w:val="0000FF"/>
      <w:u w:val="single"/>
    </w:rPr>
  </w:style>
  <w:style w:type="character" w:styleId="Emphasis">
    <w:name w:val="Emphasis"/>
    <w:basedOn w:val="DefaultParagraphFont"/>
    <w:uiPriority w:val="20"/>
    <w:qFormat/>
    <w:rsid w:val="003558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930948">
      <w:bodyDiv w:val="1"/>
      <w:marLeft w:val="0"/>
      <w:marRight w:val="0"/>
      <w:marTop w:val="0"/>
      <w:marBottom w:val="0"/>
      <w:divBdr>
        <w:top w:val="none" w:sz="0" w:space="0" w:color="auto"/>
        <w:left w:val="none" w:sz="0" w:space="0" w:color="auto"/>
        <w:bottom w:val="none" w:sz="0" w:space="0" w:color="auto"/>
        <w:right w:val="none" w:sz="0" w:space="0" w:color="auto"/>
      </w:divBdr>
      <w:divsChild>
        <w:div w:id="237903826">
          <w:marLeft w:val="720"/>
          <w:marRight w:val="0"/>
          <w:marTop w:val="0"/>
          <w:marBottom w:val="0"/>
          <w:divBdr>
            <w:top w:val="none" w:sz="0" w:space="0" w:color="auto"/>
            <w:left w:val="none" w:sz="0" w:space="0" w:color="auto"/>
            <w:bottom w:val="none" w:sz="0" w:space="0" w:color="auto"/>
            <w:right w:val="none" w:sz="0" w:space="0" w:color="auto"/>
          </w:divBdr>
        </w:div>
        <w:div w:id="694119487">
          <w:marLeft w:val="720"/>
          <w:marRight w:val="0"/>
          <w:marTop w:val="0"/>
          <w:marBottom w:val="0"/>
          <w:divBdr>
            <w:top w:val="none" w:sz="0" w:space="0" w:color="auto"/>
            <w:left w:val="none" w:sz="0" w:space="0" w:color="auto"/>
            <w:bottom w:val="none" w:sz="0" w:space="0" w:color="auto"/>
            <w:right w:val="none" w:sz="0" w:space="0" w:color="auto"/>
          </w:divBdr>
        </w:div>
        <w:div w:id="306975199">
          <w:marLeft w:val="720"/>
          <w:marRight w:val="0"/>
          <w:marTop w:val="0"/>
          <w:marBottom w:val="0"/>
          <w:divBdr>
            <w:top w:val="none" w:sz="0" w:space="0" w:color="auto"/>
            <w:left w:val="none" w:sz="0" w:space="0" w:color="auto"/>
            <w:bottom w:val="none" w:sz="0" w:space="0" w:color="auto"/>
            <w:right w:val="none" w:sz="0" w:space="0" w:color="auto"/>
          </w:divBdr>
        </w:div>
      </w:divsChild>
    </w:div>
    <w:div w:id="20798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tps/standards.htm" TargetMode="External"/><Relationship Id="rId13" Type="http://schemas.openxmlformats.org/officeDocument/2006/relationships/hyperlink" Target="https://www.energystar.gov/buildings/about-us/energy-star-certific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achecklist.org/doc/fullchecklist/ada-checklist.pdf" TargetMode="External"/><Relationship Id="rId12" Type="http://schemas.openxmlformats.org/officeDocument/2006/relationships/hyperlink" Target="http://living-future.org/lb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englobes.com/home.asp" TargetMode="External"/><Relationship Id="rId5" Type="http://schemas.openxmlformats.org/officeDocument/2006/relationships/footnotes" Target="footnotes.xml"/><Relationship Id="rId15" Type="http://schemas.openxmlformats.org/officeDocument/2006/relationships/hyperlink" Target="http://www.phius.org/phius-certification-for-buildings-and-products" TargetMode="External"/><Relationship Id="rId10" Type="http://schemas.openxmlformats.org/officeDocument/2006/relationships/hyperlink" Target="http://www.usgbc.org/leed" TargetMode="External"/><Relationship Id="rId4" Type="http://schemas.openxmlformats.org/officeDocument/2006/relationships/webSettings" Target="webSettings.xml"/><Relationship Id="rId9" Type="http://schemas.openxmlformats.org/officeDocument/2006/relationships/hyperlink" Target="http://midhudson.org/wp-content/uploads/2015/04/Useful-life-energy-conservation-standards_final.pdf" TargetMode="External"/><Relationship Id="rId14" Type="http://schemas.openxmlformats.org/officeDocument/2006/relationships/hyperlink" Target="http://living-future.org/netze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rsmith</dc:creator>
  <cp:keywords/>
  <dc:description/>
  <cp:lastModifiedBy>Rebekkah Smith Aldrich</cp:lastModifiedBy>
  <cp:revision>2</cp:revision>
  <cp:lastPrinted>2017-06-19T12:23:00Z</cp:lastPrinted>
  <dcterms:created xsi:type="dcterms:W3CDTF">2019-06-26T13:58:00Z</dcterms:created>
  <dcterms:modified xsi:type="dcterms:W3CDTF">2019-06-26T13:58:00Z</dcterms:modified>
</cp:coreProperties>
</file>